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1E84E" w14:textId="77777777" w:rsidR="00614C0A" w:rsidRPr="001119C7" w:rsidRDefault="00614C0A" w:rsidP="00614C0A">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 xml:space="preserve">Утверждаемая графическая часть </w:t>
      </w:r>
    </w:p>
    <w:p w14:paraId="3689D33A" w14:textId="77777777" w:rsidR="00614C0A" w:rsidRPr="001119C7" w:rsidRDefault="00614C0A" w:rsidP="00614C0A">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 xml:space="preserve">проекта планировки территории </w:t>
      </w:r>
    </w:p>
    <w:p w14:paraId="60791835" w14:textId="77777777" w:rsidR="00614C0A" w:rsidRPr="001119C7" w:rsidRDefault="00614C0A" w:rsidP="00614C0A">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 xml:space="preserve">для размещения объекта </w:t>
      </w:r>
    </w:p>
    <w:p w14:paraId="20A295AD" w14:textId="77777777" w:rsidR="00614C0A" w:rsidRPr="001119C7" w:rsidRDefault="00614C0A" w:rsidP="00614C0A">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Ханты-Мансийского автономного округа - Югры</w:t>
      </w:r>
    </w:p>
    <w:p w14:paraId="1854E152" w14:textId="77777777" w:rsidR="00614C0A" w:rsidRPr="001119C7" w:rsidRDefault="00594D58" w:rsidP="00614C0A">
      <w:pPr>
        <w:pStyle w:val="a3"/>
        <w:spacing w:after="0" w:line="240" w:lineRule="auto"/>
        <w:ind w:left="0"/>
        <w:rPr>
          <w:rFonts w:ascii="Times New Roman" w:hAnsi="Times New Roman" w:cs="Times New Roman"/>
          <w:sz w:val="24"/>
          <w:szCs w:val="24"/>
        </w:rPr>
      </w:pPr>
      <w:bookmarkStart w:id="0" w:name="_Hlk73436064"/>
      <w:r>
        <w:rPr>
          <w:rFonts w:ascii="Times New Roman" w:hAnsi="Times New Roman" w:cs="Times New Roman"/>
          <w:spacing w:val="-4"/>
          <w:sz w:val="24"/>
          <w:szCs w:val="24"/>
        </w:rPr>
        <w:t>«</w:t>
      </w:r>
      <w:r w:rsidR="00A57F22" w:rsidRPr="00D17F0A">
        <w:rPr>
          <w:rFonts w:ascii="Times New Roman" w:hAnsi="Times New Roman" w:cs="Times New Roman"/>
          <w:spacing w:val="-4"/>
          <w:sz w:val="24"/>
          <w:szCs w:val="24"/>
        </w:rPr>
        <w:fldChar w:fldCharType="begin"/>
      </w:r>
      <w:r w:rsidR="005A6D01" w:rsidRPr="00D17F0A">
        <w:rPr>
          <w:rFonts w:ascii="Times New Roman" w:hAnsi="Times New Roman" w:cs="Times New Roman"/>
          <w:spacing w:val="-4"/>
          <w:sz w:val="24"/>
          <w:szCs w:val="24"/>
        </w:rPr>
        <w:instrText xml:space="preserve"> DOCPROPERTY  Название  \* MERGEFORMAT </w:instrText>
      </w:r>
      <w:r w:rsidR="00A57F22" w:rsidRPr="00D17F0A">
        <w:rPr>
          <w:rFonts w:ascii="Times New Roman" w:hAnsi="Times New Roman" w:cs="Times New Roman"/>
          <w:spacing w:val="-4"/>
          <w:sz w:val="24"/>
          <w:szCs w:val="24"/>
        </w:rPr>
        <w:fldChar w:fldCharType="separate"/>
      </w:r>
      <w:r w:rsidR="005A6D01" w:rsidRPr="00D17F0A">
        <w:rPr>
          <w:rFonts w:ascii="Times New Roman" w:hAnsi="Times New Roman" w:cs="Times New Roman"/>
          <w:spacing w:val="-4"/>
          <w:sz w:val="24"/>
          <w:szCs w:val="24"/>
        </w:rPr>
        <w:t>Обустройство кустовой площадки №17 Средне-Назымского лицензионного участка</w:t>
      </w:r>
      <w:r w:rsidR="00A57F22" w:rsidRPr="00D17F0A">
        <w:rPr>
          <w:rFonts w:ascii="Times New Roman" w:hAnsi="Times New Roman" w:cs="Times New Roman"/>
          <w:spacing w:val="-4"/>
          <w:sz w:val="24"/>
          <w:szCs w:val="24"/>
        </w:rPr>
        <w:fldChar w:fldCharType="end"/>
      </w:r>
      <w:r w:rsidR="00614C0A" w:rsidRPr="001119C7">
        <w:rPr>
          <w:rFonts w:ascii="Times New Roman" w:hAnsi="Times New Roman" w:cs="Times New Roman"/>
          <w:sz w:val="24"/>
          <w:szCs w:val="24"/>
        </w:rPr>
        <w:t>»</w:t>
      </w:r>
    </w:p>
    <w:bookmarkEnd w:id="0"/>
    <w:p w14:paraId="666299D3" w14:textId="77777777" w:rsidR="0087799A" w:rsidRDefault="0087799A" w:rsidP="0087799A">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Землепользователь: АО «РИТЭК» ТПП «РИТЭКБелоярскнефть»</w:t>
      </w:r>
    </w:p>
    <w:p w14:paraId="4C35FCD1" w14:textId="41F00769" w:rsidR="0090372A" w:rsidRPr="0090372A" w:rsidRDefault="0090372A" w:rsidP="0090372A">
      <w:pPr>
        <w:pStyle w:val="a7"/>
        <w:spacing w:line="216" w:lineRule="auto"/>
        <w:ind w:right="142"/>
        <w:contextualSpacing/>
        <w:jc w:val="right"/>
        <w:rPr>
          <w:rFonts w:ascii="Times New Roman" w:hAnsi="Times New Roman" w:cs="Times New Roman"/>
          <w:sz w:val="24"/>
          <w:szCs w:val="24"/>
        </w:rPr>
      </w:pPr>
      <w:r w:rsidRPr="0090372A">
        <w:rPr>
          <w:rFonts w:ascii="Times New Roman" w:hAnsi="Times New Roman" w:cs="Times New Roman"/>
          <w:sz w:val="24"/>
          <w:szCs w:val="24"/>
        </w:rPr>
        <w:lastRenderedPageBreak/>
        <w:t xml:space="preserve">Приложение </w:t>
      </w:r>
    </w:p>
    <w:p w14:paraId="4E30BA76" w14:textId="3059307F" w:rsidR="0090372A" w:rsidRPr="0090372A" w:rsidRDefault="0090372A" w:rsidP="0090372A">
      <w:pPr>
        <w:pStyle w:val="a7"/>
        <w:spacing w:line="216" w:lineRule="auto"/>
        <w:ind w:right="142"/>
        <w:contextualSpacing/>
        <w:jc w:val="right"/>
        <w:rPr>
          <w:rFonts w:ascii="Times New Roman" w:hAnsi="Times New Roman" w:cs="Times New Roman"/>
          <w:bCs/>
          <w:sz w:val="24"/>
          <w:szCs w:val="24"/>
        </w:rPr>
      </w:pPr>
      <w:r>
        <w:rPr>
          <w:rFonts w:ascii="Times New Roman" w:hAnsi="Times New Roman" w:cs="Times New Roman"/>
          <w:sz w:val="24"/>
          <w:szCs w:val="24"/>
        </w:rPr>
        <w:t xml:space="preserve">  </w:t>
      </w:r>
      <w:r w:rsidRPr="0090372A">
        <w:rPr>
          <w:rFonts w:ascii="Times New Roman" w:hAnsi="Times New Roman" w:cs="Times New Roman"/>
          <w:sz w:val="24"/>
          <w:szCs w:val="24"/>
        </w:rPr>
        <w:t xml:space="preserve"> к приказу </w:t>
      </w:r>
      <w:r w:rsidRPr="0090372A">
        <w:rPr>
          <w:rFonts w:ascii="Times New Roman" w:hAnsi="Times New Roman" w:cs="Times New Roman"/>
          <w:bCs/>
          <w:sz w:val="24"/>
          <w:szCs w:val="24"/>
        </w:rPr>
        <w:t>Департамента строительства,</w:t>
      </w:r>
    </w:p>
    <w:p w14:paraId="3E6E2738" w14:textId="77777777" w:rsidR="0090372A" w:rsidRPr="0090372A" w:rsidRDefault="0090372A" w:rsidP="0090372A">
      <w:pPr>
        <w:widowControl w:val="0"/>
        <w:tabs>
          <w:tab w:val="left" w:pos="993"/>
        </w:tabs>
        <w:spacing w:line="216" w:lineRule="auto"/>
        <w:ind w:right="142"/>
        <w:contextualSpacing/>
        <w:jc w:val="right"/>
        <w:rPr>
          <w:rFonts w:ascii="Times New Roman" w:hAnsi="Times New Roman" w:cs="Times New Roman"/>
          <w:bCs/>
          <w:sz w:val="24"/>
          <w:szCs w:val="24"/>
        </w:rPr>
      </w:pPr>
      <w:r w:rsidRPr="0090372A">
        <w:rPr>
          <w:rFonts w:ascii="Times New Roman" w:hAnsi="Times New Roman" w:cs="Times New Roman"/>
          <w:bCs/>
          <w:sz w:val="24"/>
          <w:szCs w:val="24"/>
        </w:rPr>
        <w:t xml:space="preserve">архитектуры и ЖКХ администрации </w:t>
      </w:r>
    </w:p>
    <w:p w14:paraId="22E36DD5" w14:textId="77777777" w:rsidR="0090372A" w:rsidRPr="0090372A" w:rsidRDefault="0090372A" w:rsidP="0090372A">
      <w:pPr>
        <w:widowControl w:val="0"/>
        <w:tabs>
          <w:tab w:val="left" w:pos="993"/>
        </w:tabs>
        <w:spacing w:line="216" w:lineRule="auto"/>
        <w:ind w:right="142"/>
        <w:contextualSpacing/>
        <w:jc w:val="right"/>
        <w:rPr>
          <w:rFonts w:ascii="Times New Roman" w:hAnsi="Times New Roman" w:cs="Times New Roman"/>
          <w:bCs/>
          <w:sz w:val="24"/>
          <w:szCs w:val="24"/>
        </w:rPr>
      </w:pPr>
      <w:r w:rsidRPr="0090372A">
        <w:rPr>
          <w:rFonts w:ascii="Times New Roman" w:hAnsi="Times New Roman" w:cs="Times New Roman"/>
          <w:bCs/>
          <w:sz w:val="24"/>
          <w:szCs w:val="24"/>
        </w:rPr>
        <w:t>Ханты-Ман</w:t>
      </w:r>
      <w:bookmarkStart w:id="1" w:name="_GoBack"/>
      <w:bookmarkEnd w:id="1"/>
      <w:r w:rsidRPr="0090372A">
        <w:rPr>
          <w:rFonts w:ascii="Times New Roman" w:hAnsi="Times New Roman" w:cs="Times New Roman"/>
          <w:bCs/>
          <w:sz w:val="24"/>
          <w:szCs w:val="24"/>
        </w:rPr>
        <w:t>сийского района</w:t>
      </w:r>
    </w:p>
    <w:p w14:paraId="09F939BB" w14:textId="056059E6" w:rsidR="0090372A" w:rsidRPr="0090372A" w:rsidRDefault="0090372A" w:rsidP="0090372A">
      <w:pPr>
        <w:widowControl w:val="0"/>
        <w:tabs>
          <w:tab w:val="left" w:pos="993"/>
        </w:tabs>
        <w:spacing w:line="216" w:lineRule="auto"/>
        <w:ind w:right="142"/>
        <w:contextualSpacing/>
        <w:jc w:val="right"/>
        <w:rPr>
          <w:rFonts w:ascii="Times New Roman" w:hAnsi="Times New Roman" w:cs="Times New Roman"/>
          <w:bCs/>
          <w:sz w:val="24"/>
          <w:szCs w:val="24"/>
        </w:rPr>
      </w:pPr>
      <w:r w:rsidRPr="0050616B">
        <w:rPr>
          <w:rFonts w:ascii="Times New Roman" w:hAnsi="Times New Roman" w:cs="Times New Roman"/>
          <w:bCs/>
          <w:sz w:val="24"/>
          <w:szCs w:val="24"/>
        </w:rPr>
        <w:t xml:space="preserve">от </w:t>
      </w:r>
      <w:r w:rsidR="0050616B" w:rsidRPr="0050616B">
        <w:rPr>
          <w:rFonts w:ascii="Times New Roman" w:hAnsi="Times New Roman" w:cs="Times New Roman"/>
          <w:bCs/>
          <w:sz w:val="24"/>
          <w:szCs w:val="24"/>
        </w:rPr>
        <w:t>15</w:t>
      </w:r>
      <w:r w:rsidRPr="0050616B">
        <w:rPr>
          <w:rFonts w:ascii="Times New Roman" w:hAnsi="Times New Roman" w:cs="Times New Roman"/>
          <w:bCs/>
          <w:sz w:val="24"/>
          <w:szCs w:val="24"/>
        </w:rPr>
        <w:t>.06.2021 №14</w:t>
      </w:r>
      <w:r w:rsidR="0050616B" w:rsidRPr="0050616B">
        <w:rPr>
          <w:rFonts w:ascii="Times New Roman" w:hAnsi="Times New Roman" w:cs="Times New Roman"/>
          <w:bCs/>
          <w:sz w:val="24"/>
          <w:szCs w:val="24"/>
        </w:rPr>
        <w:t>8</w:t>
      </w:r>
      <w:r w:rsidRPr="0050616B">
        <w:rPr>
          <w:rFonts w:ascii="Times New Roman" w:hAnsi="Times New Roman" w:cs="Times New Roman"/>
          <w:bCs/>
          <w:sz w:val="24"/>
          <w:szCs w:val="24"/>
        </w:rPr>
        <w:t>-н</w:t>
      </w:r>
    </w:p>
    <w:p w14:paraId="48E8DB4E" w14:textId="5BFF51A3" w:rsidR="00614C0A" w:rsidRDefault="00614C0A" w:rsidP="00614C0A">
      <w:pPr>
        <w:pStyle w:val="a3"/>
        <w:spacing w:after="0" w:line="240" w:lineRule="auto"/>
        <w:ind w:left="0"/>
        <w:jc w:val="right"/>
        <w:rPr>
          <w:rFonts w:ascii="Times New Roman" w:hAnsi="Times New Roman" w:cs="Times New Roman"/>
          <w:sz w:val="24"/>
          <w:szCs w:val="24"/>
        </w:rPr>
      </w:pPr>
    </w:p>
    <w:p w14:paraId="28321462"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2444AD4C"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79B91133" w14:textId="77777777" w:rsidR="001119C7" w:rsidRDefault="001119C7" w:rsidP="00614C0A">
      <w:pPr>
        <w:pStyle w:val="a3"/>
        <w:spacing w:after="0" w:line="240" w:lineRule="auto"/>
        <w:ind w:left="0"/>
        <w:jc w:val="right"/>
        <w:rPr>
          <w:rFonts w:ascii="Times New Roman" w:hAnsi="Times New Roman" w:cs="Times New Roman"/>
          <w:sz w:val="24"/>
          <w:szCs w:val="24"/>
        </w:rPr>
        <w:sectPr w:rsidR="001119C7" w:rsidSect="00614C0A">
          <w:type w:val="continuous"/>
          <w:pgSz w:w="11906" w:h="16838"/>
          <w:pgMar w:top="1134" w:right="850" w:bottom="1134" w:left="1701" w:header="708" w:footer="708" w:gutter="0"/>
          <w:cols w:num="2" w:space="283"/>
          <w:docGrid w:linePitch="360"/>
        </w:sectPr>
      </w:pPr>
    </w:p>
    <w:p w14:paraId="4BD5D480" w14:textId="77777777" w:rsidR="001119C7" w:rsidRDefault="001119C7" w:rsidP="00614C0A">
      <w:pPr>
        <w:pStyle w:val="a3"/>
        <w:spacing w:after="0" w:line="240" w:lineRule="auto"/>
        <w:ind w:left="0"/>
        <w:jc w:val="right"/>
        <w:rPr>
          <w:rFonts w:ascii="Times New Roman" w:hAnsi="Times New Roman" w:cs="Times New Roman"/>
          <w:sz w:val="24"/>
          <w:szCs w:val="24"/>
        </w:rPr>
      </w:pPr>
    </w:p>
    <w:tbl>
      <w:tblPr>
        <w:tblW w:w="5000" w:type="pct"/>
        <w:jc w:val="center"/>
        <w:tblLook w:val="04A0" w:firstRow="1" w:lastRow="0" w:firstColumn="1" w:lastColumn="0" w:noHBand="0" w:noVBand="1"/>
      </w:tblPr>
      <w:tblGrid>
        <w:gridCol w:w="1413"/>
        <w:gridCol w:w="4079"/>
        <w:gridCol w:w="4079"/>
      </w:tblGrid>
      <w:tr w:rsidR="00DE5054" w:rsidRPr="00DE5054" w14:paraId="1A7ED466" w14:textId="77777777" w:rsidTr="00DE5054">
        <w:trPr>
          <w:trHeight w:val="945"/>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7C92CE02"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Перечень координат характерных точек устанавливаемых красных линий</w:t>
            </w:r>
          </w:p>
          <w:p w14:paraId="5D016B50" w14:textId="6171D064" w:rsidR="00EC0AEB" w:rsidRPr="004376E0" w:rsidRDefault="00EC0AEB"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(МСК-86, зона 2)</w:t>
            </w:r>
          </w:p>
        </w:tc>
      </w:tr>
      <w:tr w:rsidR="00DE5054" w:rsidRPr="00DE5054" w14:paraId="1F0D2879"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0EA71BF5"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w:t>
            </w:r>
          </w:p>
        </w:tc>
        <w:tc>
          <w:tcPr>
            <w:tcW w:w="2131" w:type="pct"/>
            <w:tcBorders>
              <w:top w:val="nil"/>
              <w:left w:val="nil"/>
              <w:bottom w:val="single" w:sz="4" w:space="0" w:color="auto"/>
              <w:right w:val="single" w:sz="4" w:space="0" w:color="auto"/>
            </w:tcBorders>
            <w:shd w:val="clear" w:color="auto" w:fill="auto"/>
            <w:noWrap/>
            <w:vAlign w:val="center"/>
            <w:hideMark/>
          </w:tcPr>
          <w:p w14:paraId="3BE843BF"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Y</w:t>
            </w:r>
          </w:p>
        </w:tc>
        <w:tc>
          <w:tcPr>
            <w:tcW w:w="2131" w:type="pct"/>
            <w:tcBorders>
              <w:top w:val="nil"/>
              <w:left w:val="nil"/>
              <w:bottom w:val="single" w:sz="4" w:space="0" w:color="auto"/>
              <w:right w:val="single" w:sz="8" w:space="0" w:color="auto"/>
            </w:tcBorders>
            <w:shd w:val="clear" w:color="auto" w:fill="auto"/>
            <w:noWrap/>
            <w:vAlign w:val="center"/>
            <w:hideMark/>
          </w:tcPr>
          <w:p w14:paraId="587BC3A3"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X</w:t>
            </w:r>
          </w:p>
        </w:tc>
      </w:tr>
      <w:tr w:rsidR="00DE5054" w:rsidRPr="00DE5054" w14:paraId="73366A7D"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56D65EC8"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w:t>
            </w:r>
          </w:p>
        </w:tc>
        <w:tc>
          <w:tcPr>
            <w:tcW w:w="2131" w:type="pct"/>
            <w:tcBorders>
              <w:top w:val="nil"/>
              <w:left w:val="nil"/>
              <w:bottom w:val="single" w:sz="4" w:space="0" w:color="auto"/>
              <w:right w:val="single" w:sz="4" w:space="0" w:color="auto"/>
            </w:tcBorders>
            <w:shd w:val="clear" w:color="auto" w:fill="auto"/>
            <w:noWrap/>
            <w:vAlign w:val="center"/>
            <w:hideMark/>
          </w:tcPr>
          <w:p w14:paraId="78FEFAA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1064184.36</w:t>
            </w:r>
          </w:p>
        </w:tc>
        <w:tc>
          <w:tcPr>
            <w:tcW w:w="2131" w:type="pct"/>
            <w:tcBorders>
              <w:top w:val="nil"/>
              <w:left w:val="nil"/>
              <w:bottom w:val="single" w:sz="4" w:space="0" w:color="auto"/>
              <w:right w:val="single" w:sz="8" w:space="0" w:color="auto"/>
            </w:tcBorders>
            <w:shd w:val="clear" w:color="auto" w:fill="auto"/>
            <w:noWrap/>
            <w:vAlign w:val="center"/>
            <w:hideMark/>
          </w:tcPr>
          <w:p w14:paraId="68E34E0E"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2625029.11</w:t>
            </w:r>
          </w:p>
        </w:tc>
      </w:tr>
      <w:tr w:rsidR="00DE5054" w:rsidRPr="00DE5054" w14:paraId="4922EC47"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09A043D6"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w:t>
            </w:r>
          </w:p>
        </w:tc>
        <w:tc>
          <w:tcPr>
            <w:tcW w:w="2131" w:type="pct"/>
            <w:tcBorders>
              <w:top w:val="nil"/>
              <w:left w:val="nil"/>
              <w:bottom w:val="single" w:sz="4" w:space="0" w:color="auto"/>
              <w:right w:val="single" w:sz="4" w:space="0" w:color="auto"/>
            </w:tcBorders>
            <w:shd w:val="clear" w:color="auto" w:fill="auto"/>
            <w:noWrap/>
            <w:vAlign w:val="center"/>
            <w:hideMark/>
          </w:tcPr>
          <w:p w14:paraId="6457171F"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1064121.39</w:t>
            </w:r>
          </w:p>
        </w:tc>
        <w:tc>
          <w:tcPr>
            <w:tcW w:w="2131" w:type="pct"/>
            <w:tcBorders>
              <w:top w:val="nil"/>
              <w:left w:val="nil"/>
              <w:bottom w:val="single" w:sz="4" w:space="0" w:color="auto"/>
              <w:right w:val="single" w:sz="8" w:space="0" w:color="auto"/>
            </w:tcBorders>
            <w:shd w:val="clear" w:color="auto" w:fill="auto"/>
            <w:noWrap/>
            <w:vAlign w:val="center"/>
            <w:hideMark/>
          </w:tcPr>
          <w:p w14:paraId="7C1EEACE"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2625031.97</w:t>
            </w:r>
          </w:p>
        </w:tc>
      </w:tr>
      <w:tr w:rsidR="00DE5054" w:rsidRPr="00DE5054" w14:paraId="5A238F6A"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5BCF3AF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3</w:t>
            </w:r>
          </w:p>
        </w:tc>
        <w:tc>
          <w:tcPr>
            <w:tcW w:w="2131" w:type="pct"/>
            <w:tcBorders>
              <w:top w:val="nil"/>
              <w:left w:val="nil"/>
              <w:bottom w:val="single" w:sz="4" w:space="0" w:color="auto"/>
              <w:right w:val="single" w:sz="4" w:space="0" w:color="auto"/>
            </w:tcBorders>
            <w:shd w:val="clear" w:color="auto" w:fill="auto"/>
            <w:noWrap/>
            <w:vAlign w:val="center"/>
            <w:hideMark/>
          </w:tcPr>
          <w:p w14:paraId="38168B32"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1064125.57</w:t>
            </w:r>
          </w:p>
        </w:tc>
        <w:tc>
          <w:tcPr>
            <w:tcW w:w="2131" w:type="pct"/>
            <w:tcBorders>
              <w:top w:val="nil"/>
              <w:left w:val="nil"/>
              <w:bottom w:val="single" w:sz="4" w:space="0" w:color="auto"/>
              <w:right w:val="single" w:sz="8" w:space="0" w:color="auto"/>
            </w:tcBorders>
            <w:shd w:val="clear" w:color="auto" w:fill="auto"/>
            <w:noWrap/>
            <w:vAlign w:val="center"/>
            <w:hideMark/>
          </w:tcPr>
          <w:p w14:paraId="53E6D91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2625123.88</w:t>
            </w:r>
          </w:p>
        </w:tc>
      </w:tr>
      <w:tr w:rsidR="00DE5054" w:rsidRPr="00DE5054" w14:paraId="5ED30E62"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2141AE9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4</w:t>
            </w:r>
          </w:p>
        </w:tc>
        <w:tc>
          <w:tcPr>
            <w:tcW w:w="2131" w:type="pct"/>
            <w:tcBorders>
              <w:top w:val="nil"/>
              <w:left w:val="nil"/>
              <w:bottom w:val="single" w:sz="4" w:space="0" w:color="auto"/>
              <w:right w:val="single" w:sz="4" w:space="0" w:color="auto"/>
            </w:tcBorders>
            <w:shd w:val="clear" w:color="auto" w:fill="auto"/>
            <w:noWrap/>
            <w:vAlign w:val="center"/>
            <w:hideMark/>
          </w:tcPr>
          <w:p w14:paraId="6FD3FC4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1064127.66</w:t>
            </w:r>
          </w:p>
        </w:tc>
        <w:tc>
          <w:tcPr>
            <w:tcW w:w="2131" w:type="pct"/>
            <w:tcBorders>
              <w:top w:val="nil"/>
              <w:left w:val="nil"/>
              <w:bottom w:val="single" w:sz="4" w:space="0" w:color="auto"/>
              <w:right w:val="single" w:sz="8" w:space="0" w:color="auto"/>
            </w:tcBorders>
            <w:shd w:val="clear" w:color="auto" w:fill="auto"/>
            <w:noWrap/>
            <w:vAlign w:val="center"/>
            <w:hideMark/>
          </w:tcPr>
          <w:p w14:paraId="3282CBD9"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2625153.86</w:t>
            </w:r>
          </w:p>
        </w:tc>
      </w:tr>
      <w:tr w:rsidR="00DE5054" w:rsidRPr="00DE5054" w14:paraId="5EF41CD8"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61DBBB89"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5</w:t>
            </w:r>
          </w:p>
        </w:tc>
        <w:tc>
          <w:tcPr>
            <w:tcW w:w="2131" w:type="pct"/>
            <w:tcBorders>
              <w:top w:val="nil"/>
              <w:left w:val="nil"/>
              <w:bottom w:val="single" w:sz="4" w:space="0" w:color="auto"/>
              <w:right w:val="single" w:sz="4" w:space="0" w:color="auto"/>
            </w:tcBorders>
            <w:shd w:val="clear" w:color="auto" w:fill="auto"/>
            <w:noWrap/>
            <w:vAlign w:val="center"/>
            <w:hideMark/>
          </w:tcPr>
          <w:p w14:paraId="45B6733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1064178.40</w:t>
            </w:r>
          </w:p>
        </w:tc>
        <w:tc>
          <w:tcPr>
            <w:tcW w:w="2131" w:type="pct"/>
            <w:tcBorders>
              <w:top w:val="nil"/>
              <w:left w:val="nil"/>
              <w:bottom w:val="single" w:sz="4" w:space="0" w:color="auto"/>
              <w:right w:val="single" w:sz="8" w:space="0" w:color="auto"/>
            </w:tcBorders>
            <w:shd w:val="clear" w:color="auto" w:fill="auto"/>
            <w:noWrap/>
            <w:vAlign w:val="center"/>
            <w:hideMark/>
          </w:tcPr>
          <w:p w14:paraId="036F4699"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2625150.66</w:t>
            </w:r>
          </w:p>
        </w:tc>
      </w:tr>
      <w:tr w:rsidR="00DE5054" w:rsidRPr="00DE5054" w14:paraId="6C9E6ED6"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56036C53"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6</w:t>
            </w:r>
          </w:p>
        </w:tc>
        <w:tc>
          <w:tcPr>
            <w:tcW w:w="2131" w:type="pct"/>
            <w:tcBorders>
              <w:top w:val="nil"/>
              <w:left w:val="nil"/>
              <w:bottom w:val="single" w:sz="4" w:space="0" w:color="auto"/>
              <w:right w:val="single" w:sz="4" w:space="0" w:color="auto"/>
            </w:tcBorders>
            <w:shd w:val="clear" w:color="auto" w:fill="auto"/>
            <w:noWrap/>
            <w:vAlign w:val="center"/>
            <w:hideMark/>
          </w:tcPr>
          <w:p w14:paraId="5C5F8E88"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1064691.41</w:t>
            </w:r>
          </w:p>
        </w:tc>
        <w:tc>
          <w:tcPr>
            <w:tcW w:w="2131" w:type="pct"/>
            <w:tcBorders>
              <w:top w:val="nil"/>
              <w:left w:val="nil"/>
              <w:bottom w:val="single" w:sz="4" w:space="0" w:color="auto"/>
              <w:right w:val="single" w:sz="8" w:space="0" w:color="auto"/>
            </w:tcBorders>
            <w:shd w:val="clear" w:color="auto" w:fill="auto"/>
            <w:noWrap/>
            <w:vAlign w:val="center"/>
            <w:hideMark/>
          </w:tcPr>
          <w:p w14:paraId="58EBE433"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2625099.10</w:t>
            </w:r>
          </w:p>
        </w:tc>
      </w:tr>
      <w:tr w:rsidR="00DE5054" w:rsidRPr="00DE5054" w14:paraId="7EC5E396"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150F00AE"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7</w:t>
            </w:r>
          </w:p>
        </w:tc>
        <w:tc>
          <w:tcPr>
            <w:tcW w:w="2131" w:type="pct"/>
            <w:tcBorders>
              <w:top w:val="nil"/>
              <w:left w:val="nil"/>
              <w:bottom w:val="single" w:sz="4" w:space="0" w:color="auto"/>
              <w:right w:val="single" w:sz="4" w:space="0" w:color="auto"/>
            </w:tcBorders>
            <w:shd w:val="clear" w:color="auto" w:fill="auto"/>
            <w:noWrap/>
            <w:vAlign w:val="center"/>
            <w:hideMark/>
          </w:tcPr>
          <w:p w14:paraId="7B99CD47"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1064676.70</w:t>
            </w:r>
          </w:p>
        </w:tc>
        <w:tc>
          <w:tcPr>
            <w:tcW w:w="2131" w:type="pct"/>
            <w:tcBorders>
              <w:top w:val="nil"/>
              <w:left w:val="nil"/>
              <w:bottom w:val="single" w:sz="4" w:space="0" w:color="auto"/>
              <w:right w:val="single" w:sz="8" w:space="0" w:color="auto"/>
            </w:tcBorders>
            <w:shd w:val="clear" w:color="auto" w:fill="auto"/>
            <w:noWrap/>
            <w:vAlign w:val="center"/>
            <w:hideMark/>
          </w:tcPr>
          <w:p w14:paraId="5665143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2625000.76</w:t>
            </w:r>
          </w:p>
        </w:tc>
      </w:tr>
      <w:tr w:rsidR="00DE5054" w:rsidRPr="00DE5054" w14:paraId="61A6FF8B"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08B8EEA0"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8</w:t>
            </w:r>
          </w:p>
        </w:tc>
        <w:tc>
          <w:tcPr>
            <w:tcW w:w="2131" w:type="pct"/>
            <w:tcBorders>
              <w:top w:val="nil"/>
              <w:left w:val="nil"/>
              <w:bottom w:val="single" w:sz="4" w:space="0" w:color="auto"/>
              <w:right w:val="single" w:sz="4" w:space="0" w:color="auto"/>
            </w:tcBorders>
            <w:shd w:val="clear" w:color="auto" w:fill="auto"/>
            <w:noWrap/>
            <w:vAlign w:val="center"/>
            <w:hideMark/>
          </w:tcPr>
          <w:p w14:paraId="39A730CA"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1064775.62</w:t>
            </w:r>
          </w:p>
        </w:tc>
        <w:tc>
          <w:tcPr>
            <w:tcW w:w="2131" w:type="pct"/>
            <w:tcBorders>
              <w:top w:val="nil"/>
              <w:left w:val="nil"/>
              <w:bottom w:val="single" w:sz="4" w:space="0" w:color="auto"/>
              <w:right w:val="single" w:sz="8" w:space="0" w:color="auto"/>
            </w:tcBorders>
            <w:shd w:val="clear" w:color="auto" w:fill="auto"/>
            <w:noWrap/>
            <w:vAlign w:val="center"/>
            <w:hideMark/>
          </w:tcPr>
          <w:p w14:paraId="5E0785D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2624985.96</w:t>
            </w:r>
          </w:p>
        </w:tc>
      </w:tr>
      <w:tr w:rsidR="00DE5054" w:rsidRPr="00DE5054" w14:paraId="6F58BD77"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5EA6614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9</w:t>
            </w:r>
          </w:p>
        </w:tc>
        <w:tc>
          <w:tcPr>
            <w:tcW w:w="2131" w:type="pct"/>
            <w:tcBorders>
              <w:top w:val="nil"/>
              <w:left w:val="nil"/>
              <w:bottom w:val="single" w:sz="4" w:space="0" w:color="auto"/>
              <w:right w:val="single" w:sz="4" w:space="0" w:color="auto"/>
            </w:tcBorders>
            <w:shd w:val="clear" w:color="auto" w:fill="auto"/>
            <w:noWrap/>
            <w:vAlign w:val="center"/>
            <w:hideMark/>
          </w:tcPr>
          <w:p w14:paraId="2FEF665E"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1064746.07</w:t>
            </w:r>
          </w:p>
        </w:tc>
        <w:tc>
          <w:tcPr>
            <w:tcW w:w="2131" w:type="pct"/>
            <w:tcBorders>
              <w:top w:val="nil"/>
              <w:left w:val="nil"/>
              <w:bottom w:val="single" w:sz="4" w:space="0" w:color="auto"/>
              <w:right w:val="single" w:sz="8" w:space="0" w:color="auto"/>
            </w:tcBorders>
            <w:shd w:val="clear" w:color="auto" w:fill="auto"/>
            <w:noWrap/>
            <w:vAlign w:val="center"/>
            <w:hideMark/>
          </w:tcPr>
          <w:p w14:paraId="0E37021D"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2624788.13</w:t>
            </w:r>
          </w:p>
        </w:tc>
      </w:tr>
      <w:tr w:rsidR="00DE5054" w:rsidRPr="00DE5054" w14:paraId="55B9443B"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3A698181"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w:t>
            </w:r>
          </w:p>
        </w:tc>
        <w:tc>
          <w:tcPr>
            <w:tcW w:w="2131" w:type="pct"/>
            <w:tcBorders>
              <w:top w:val="nil"/>
              <w:left w:val="nil"/>
              <w:bottom w:val="single" w:sz="4" w:space="0" w:color="auto"/>
              <w:right w:val="single" w:sz="4" w:space="0" w:color="auto"/>
            </w:tcBorders>
            <w:shd w:val="clear" w:color="auto" w:fill="auto"/>
            <w:noWrap/>
            <w:vAlign w:val="center"/>
            <w:hideMark/>
          </w:tcPr>
          <w:p w14:paraId="7C9A14B1"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1064355.33</w:t>
            </w:r>
          </w:p>
        </w:tc>
        <w:tc>
          <w:tcPr>
            <w:tcW w:w="2131" w:type="pct"/>
            <w:tcBorders>
              <w:top w:val="nil"/>
              <w:left w:val="nil"/>
              <w:bottom w:val="single" w:sz="4" w:space="0" w:color="auto"/>
              <w:right w:val="single" w:sz="8" w:space="0" w:color="auto"/>
            </w:tcBorders>
            <w:shd w:val="clear" w:color="auto" w:fill="auto"/>
            <w:noWrap/>
            <w:vAlign w:val="center"/>
            <w:hideMark/>
          </w:tcPr>
          <w:p w14:paraId="3E18BA8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2624846.56</w:t>
            </w:r>
          </w:p>
        </w:tc>
      </w:tr>
      <w:tr w:rsidR="00DE5054" w:rsidRPr="00DE5054" w14:paraId="43E02E19" w14:textId="77777777" w:rsidTr="00DE5054">
        <w:trPr>
          <w:trHeight w:val="300"/>
          <w:jc w:val="center"/>
        </w:trPr>
        <w:tc>
          <w:tcPr>
            <w:tcW w:w="738" w:type="pct"/>
            <w:tcBorders>
              <w:top w:val="nil"/>
              <w:left w:val="single" w:sz="8" w:space="0" w:color="auto"/>
              <w:bottom w:val="single" w:sz="4" w:space="0" w:color="auto"/>
              <w:right w:val="single" w:sz="4" w:space="0" w:color="auto"/>
            </w:tcBorders>
            <w:shd w:val="clear" w:color="auto" w:fill="auto"/>
            <w:noWrap/>
            <w:vAlign w:val="center"/>
            <w:hideMark/>
          </w:tcPr>
          <w:p w14:paraId="3F7B6E30"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11</w:t>
            </w:r>
          </w:p>
        </w:tc>
        <w:tc>
          <w:tcPr>
            <w:tcW w:w="2131" w:type="pct"/>
            <w:tcBorders>
              <w:top w:val="nil"/>
              <w:left w:val="nil"/>
              <w:bottom w:val="single" w:sz="4" w:space="0" w:color="auto"/>
              <w:right w:val="single" w:sz="4" w:space="0" w:color="auto"/>
            </w:tcBorders>
            <w:shd w:val="clear" w:color="auto" w:fill="auto"/>
            <w:noWrap/>
            <w:vAlign w:val="center"/>
            <w:hideMark/>
          </w:tcPr>
          <w:p w14:paraId="7D3F10B5"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1064378.28</w:t>
            </w:r>
          </w:p>
        </w:tc>
        <w:tc>
          <w:tcPr>
            <w:tcW w:w="2131" w:type="pct"/>
            <w:tcBorders>
              <w:top w:val="nil"/>
              <w:left w:val="nil"/>
              <w:bottom w:val="single" w:sz="4" w:space="0" w:color="auto"/>
              <w:right w:val="single" w:sz="8" w:space="0" w:color="auto"/>
            </w:tcBorders>
            <w:shd w:val="clear" w:color="auto" w:fill="auto"/>
            <w:noWrap/>
            <w:vAlign w:val="center"/>
            <w:hideMark/>
          </w:tcPr>
          <w:p w14:paraId="7770F7D2"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2625000.09</w:t>
            </w:r>
          </w:p>
        </w:tc>
      </w:tr>
      <w:tr w:rsidR="00DE5054" w:rsidRPr="00DE5054" w14:paraId="63E5C833" w14:textId="77777777" w:rsidTr="00DE5054">
        <w:trPr>
          <w:trHeight w:val="315"/>
          <w:jc w:val="center"/>
        </w:trPr>
        <w:tc>
          <w:tcPr>
            <w:tcW w:w="738" w:type="pct"/>
            <w:tcBorders>
              <w:top w:val="nil"/>
              <w:left w:val="single" w:sz="8" w:space="0" w:color="auto"/>
              <w:bottom w:val="single" w:sz="8" w:space="0" w:color="auto"/>
              <w:right w:val="single" w:sz="4" w:space="0" w:color="auto"/>
            </w:tcBorders>
            <w:shd w:val="clear" w:color="auto" w:fill="auto"/>
            <w:noWrap/>
            <w:vAlign w:val="center"/>
            <w:hideMark/>
          </w:tcPr>
          <w:p w14:paraId="0A5543D6"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w:t>
            </w:r>
          </w:p>
        </w:tc>
        <w:tc>
          <w:tcPr>
            <w:tcW w:w="2131" w:type="pct"/>
            <w:tcBorders>
              <w:top w:val="nil"/>
              <w:left w:val="nil"/>
              <w:bottom w:val="single" w:sz="8" w:space="0" w:color="auto"/>
              <w:right w:val="single" w:sz="4" w:space="0" w:color="auto"/>
            </w:tcBorders>
            <w:shd w:val="clear" w:color="auto" w:fill="auto"/>
            <w:noWrap/>
            <w:vAlign w:val="center"/>
            <w:hideMark/>
          </w:tcPr>
          <w:p w14:paraId="0418188D"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1064184.36</w:t>
            </w:r>
          </w:p>
        </w:tc>
        <w:tc>
          <w:tcPr>
            <w:tcW w:w="2131" w:type="pct"/>
            <w:tcBorders>
              <w:top w:val="nil"/>
              <w:left w:val="nil"/>
              <w:bottom w:val="single" w:sz="8" w:space="0" w:color="auto"/>
              <w:right w:val="single" w:sz="8" w:space="0" w:color="auto"/>
            </w:tcBorders>
            <w:shd w:val="clear" w:color="auto" w:fill="auto"/>
            <w:noWrap/>
            <w:vAlign w:val="center"/>
            <w:hideMark/>
          </w:tcPr>
          <w:p w14:paraId="2B72885B" w14:textId="77777777" w:rsidR="00DE5054" w:rsidRPr="004376E0" w:rsidRDefault="00DE5054" w:rsidP="00DE5054">
            <w:pPr>
              <w:spacing w:after="0" w:line="240" w:lineRule="auto"/>
              <w:jc w:val="center"/>
              <w:rPr>
                <w:rFonts w:ascii="Calibri" w:eastAsia="Times New Roman" w:hAnsi="Calibri" w:cs="Times New Roman"/>
                <w:color w:val="000000"/>
                <w:lang w:eastAsia="ru-RU"/>
              </w:rPr>
            </w:pPr>
            <w:r w:rsidRPr="004376E0">
              <w:rPr>
                <w:rFonts w:ascii="Calibri" w:eastAsia="Times New Roman" w:hAnsi="Calibri" w:cs="Times New Roman"/>
                <w:color w:val="000000"/>
                <w:lang w:eastAsia="ru-RU"/>
              </w:rPr>
              <w:t>2625029.11</w:t>
            </w:r>
          </w:p>
        </w:tc>
      </w:tr>
    </w:tbl>
    <w:p w14:paraId="65461FD2" w14:textId="570DBEB9" w:rsidR="001119C7" w:rsidRDefault="001119C7" w:rsidP="005A6D01">
      <w:pPr>
        <w:pStyle w:val="a3"/>
        <w:spacing w:after="0" w:line="240" w:lineRule="auto"/>
        <w:ind w:left="0"/>
        <w:jc w:val="center"/>
        <w:rPr>
          <w:rFonts w:ascii="Times New Roman" w:hAnsi="Times New Roman" w:cs="Times New Roman"/>
          <w:sz w:val="24"/>
          <w:szCs w:val="24"/>
        </w:rPr>
      </w:pPr>
    </w:p>
    <w:p w14:paraId="4E3F95A7"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785D03C0" w14:textId="723AC157" w:rsidR="001119C7" w:rsidRDefault="00140443" w:rsidP="005A6D01">
      <w:pPr>
        <w:pStyle w:val="a3"/>
        <w:spacing w:after="0" w:line="240" w:lineRule="auto"/>
        <w:ind w:left="0"/>
        <w:jc w:val="center"/>
        <w:rPr>
          <w:rFonts w:ascii="Times New Roman" w:hAnsi="Times New Roman" w:cs="Times New Roman"/>
          <w:sz w:val="24"/>
          <w:szCs w:val="24"/>
        </w:rPr>
      </w:pPr>
      <w:r>
        <w:rPr>
          <w:noProof/>
          <w:lang w:eastAsia="ru-RU"/>
        </w:rPr>
        <w:drawing>
          <wp:inline distT="0" distB="0" distL="0" distR="0" wp14:anchorId="018567BD" wp14:editId="5FFA6BEE">
            <wp:extent cx="5940425" cy="34810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3481070"/>
                    </a:xfrm>
                    <a:prstGeom prst="rect">
                      <a:avLst/>
                    </a:prstGeom>
                  </pic:spPr>
                </pic:pic>
              </a:graphicData>
            </a:graphic>
          </wp:inline>
        </w:drawing>
      </w:r>
    </w:p>
    <w:p w14:paraId="2365E605"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17361EAB" w14:textId="5847BD1A" w:rsidR="001119C7" w:rsidRDefault="001119C7" w:rsidP="00614C0A">
      <w:pPr>
        <w:pStyle w:val="a3"/>
        <w:spacing w:after="0" w:line="240" w:lineRule="auto"/>
        <w:ind w:left="0"/>
        <w:jc w:val="right"/>
        <w:rPr>
          <w:rFonts w:ascii="Times New Roman" w:hAnsi="Times New Roman" w:cs="Times New Roman"/>
          <w:sz w:val="24"/>
          <w:szCs w:val="24"/>
        </w:rPr>
      </w:pPr>
    </w:p>
    <w:p w14:paraId="1243393A" w14:textId="185ED93A" w:rsidR="001119C7" w:rsidRDefault="00BB7266" w:rsidP="00614C0A">
      <w:pPr>
        <w:pStyle w:val="a3"/>
        <w:spacing w:after="0" w:line="240" w:lineRule="auto"/>
        <w:ind w:left="0"/>
        <w:jc w:val="right"/>
        <w:rPr>
          <w:rFonts w:ascii="Times New Roman" w:hAnsi="Times New Roman" w:cs="Times New Roman"/>
          <w:sz w:val="24"/>
          <w:szCs w:val="24"/>
        </w:rPr>
      </w:pPr>
      <w:r w:rsidRPr="00BB7266">
        <w:rPr>
          <w:rFonts w:ascii="Times New Roman" w:hAnsi="Times New Roman" w:cs="Times New Roman"/>
          <w:noProof/>
          <w:sz w:val="24"/>
          <w:szCs w:val="24"/>
          <w:lang w:eastAsia="ru-RU"/>
        </w:rPr>
        <w:lastRenderedPageBreak/>
        <w:drawing>
          <wp:anchor distT="0" distB="0" distL="114300" distR="114300" simplePos="0" relativeHeight="251658240" behindDoc="0" locked="0" layoutInCell="1" allowOverlap="1" wp14:anchorId="6083789A" wp14:editId="186EA08F">
            <wp:simplePos x="0" y="0"/>
            <wp:positionH relativeFrom="column">
              <wp:posOffset>-1080135</wp:posOffset>
            </wp:positionH>
            <wp:positionV relativeFrom="paragraph">
              <wp:posOffset>-710565</wp:posOffset>
            </wp:positionV>
            <wp:extent cx="7533148" cy="106680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37160" cy="106736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B40B2B" w14:textId="5FDB541A" w:rsidR="005B0B84" w:rsidRDefault="005B0B84" w:rsidP="00614C0A">
      <w:pPr>
        <w:pStyle w:val="a3"/>
        <w:spacing w:after="0" w:line="240" w:lineRule="auto"/>
        <w:ind w:left="0"/>
        <w:jc w:val="right"/>
        <w:rPr>
          <w:rFonts w:ascii="Times New Roman" w:hAnsi="Times New Roman" w:cs="Times New Roman"/>
          <w:sz w:val="24"/>
          <w:szCs w:val="24"/>
        </w:rPr>
      </w:pPr>
    </w:p>
    <w:p w14:paraId="04AE2861" w14:textId="5FE7AA17" w:rsidR="005B0B84" w:rsidRDefault="005B0B84" w:rsidP="00614C0A">
      <w:pPr>
        <w:pStyle w:val="a3"/>
        <w:spacing w:after="0" w:line="240" w:lineRule="auto"/>
        <w:ind w:left="0"/>
        <w:jc w:val="right"/>
        <w:rPr>
          <w:rFonts w:ascii="Times New Roman" w:hAnsi="Times New Roman" w:cs="Times New Roman"/>
          <w:sz w:val="24"/>
          <w:szCs w:val="24"/>
        </w:rPr>
      </w:pPr>
    </w:p>
    <w:p w14:paraId="173A7228" w14:textId="383A1B8F" w:rsidR="005B0B84" w:rsidRDefault="005B0B84" w:rsidP="00614C0A">
      <w:pPr>
        <w:pStyle w:val="a3"/>
        <w:spacing w:after="0" w:line="240" w:lineRule="auto"/>
        <w:ind w:left="0"/>
        <w:jc w:val="right"/>
        <w:rPr>
          <w:rFonts w:ascii="Times New Roman" w:hAnsi="Times New Roman" w:cs="Times New Roman"/>
          <w:sz w:val="24"/>
          <w:szCs w:val="24"/>
        </w:rPr>
      </w:pPr>
    </w:p>
    <w:p w14:paraId="28400B2D" w14:textId="1A167CA5" w:rsidR="005B0B84" w:rsidRDefault="005B0B84" w:rsidP="00614C0A">
      <w:pPr>
        <w:pStyle w:val="a3"/>
        <w:spacing w:after="0" w:line="240" w:lineRule="auto"/>
        <w:ind w:left="0"/>
        <w:jc w:val="right"/>
        <w:rPr>
          <w:rFonts w:ascii="Times New Roman" w:hAnsi="Times New Roman" w:cs="Times New Roman"/>
          <w:sz w:val="24"/>
          <w:szCs w:val="24"/>
        </w:rPr>
      </w:pPr>
    </w:p>
    <w:p w14:paraId="6F0D766C" w14:textId="7C950BC7" w:rsidR="005B0B84" w:rsidRDefault="005B0B84" w:rsidP="00614C0A">
      <w:pPr>
        <w:pStyle w:val="a3"/>
        <w:spacing w:after="0" w:line="240" w:lineRule="auto"/>
        <w:ind w:left="0"/>
        <w:jc w:val="right"/>
        <w:rPr>
          <w:rFonts w:ascii="Times New Roman" w:hAnsi="Times New Roman" w:cs="Times New Roman"/>
          <w:sz w:val="24"/>
          <w:szCs w:val="24"/>
        </w:rPr>
      </w:pPr>
    </w:p>
    <w:p w14:paraId="70AFC97D" w14:textId="7DFF061F" w:rsidR="005B0B84" w:rsidRDefault="005B0B84" w:rsidP="00614C0A">
      <w:pPr>
        <w:pStyle w:val="a3"/>
        <w:spacing w:after="0" w:line="240" w:lineRule="auto"/>
        <w:ind w:left="0"/>
        <w:jc w:val="right"/>
        <w:rPr>
          <w:rFonts w:ascii="Times New Roman" w:hAnsi="Times New Roman" w:cs="Times New Roman"/>
          <w:sz w:val="24"/>
          <w:szCs w:val="24"/>
        </w:rPr>
      </w:pPr>
    </w:p>
    <w:p w14:paraId="644453DE" w14:textId="2C5248DC" w:rsidR="005B0B84" w:rsidRDefault="005B0B84" w:rsidP="00614C0A">
      <w:pPr>
        <w:pStyle w:val="a3"/>
        <w:spacing w:after="0" w:line="240" w:lineRule="auto"/>
        <w:ind w:left="0"/>
        <w:jc w:val="right"/>
        <w:rPr>
          <w:rFonts w:ascii="Times New Roman" w:hAnsi="Times New Roman" w:cs="Times New Roman"/>
          <w:sz w:val="24"/>
          <w:szCs w:val="24"/>
        </w:rPr>
      </w:pPr>
    </w:p>
    <w:p w14:paraId="6BC1F843" w14:textId="413E0103" w:rsidR="005B0B84" w:rsidRDefault="005B0B84" w:rsidP="00614C0A">
      <w:pPr>
        <w:pStyle w:val="a3"/>
        <w:spacing w:after="0" w:line="240" w:lineRule="auto"/>
        <w:ind w:left="0"/>
        <w:jc w:val="right"/>
        <w:rPr>
          <w:rFonts w:ascii="Times New Roman" w:hAnsi="Times New Roman" w:cs="Times New Roman"/>
          <w:sz w:val="24"/>
          <w:szCs w:val="24"/>
        </w:rPr>
      </w:pPr>
    </w:p>
    <w:p w14:paraId="30835851" w14:textId="1823DBE4" w:rsidR="005B0B84" w:rsidRDefault="005B0B84" w:rsidP="00614C0A">
      <w:pPr>
        <w:pStyle w:val="a3"/>
        <w:spacing w:after="0" w:line="240" w:lineRule="auto"/>
        <w:ind w:left="0"/>
        <w:jc w:val="right"/>
        <w:rPr>
          <w:rFonts w:ascii="Times New Roman" w:hAnsi="Times New Roman" w:cs="Times New Roman"/>
          <w:sz w:val="24"/>
          <w:szCs w:val="24"/>
        </w:rPr>
      </w:pPr>
    </w:p>
    <w:p w14:paraId="5F0AAC4C" w14:textId="29CDA80B" w:rsidR="005B0B84" w:rsidRDefault="005B0B84" w:rsidP="00614C0A">
      <w:pPr>
        <w:pStyle w:val="a3"/>
        <w:spacing w:after="0" w:line="240" w:lineRule="auto"/>
        <w:ind w:left="0"/>
        <w:jc w:val="right"/>
        <w:rPr>
          <w:rFonts w:ascii="Times New Roman" w:hAnsi="Times New Roman" w:cs="Times New Roman"/>
          <w:sz w:val="24"/>
          <w:szCs w:val="24"/>
        </w:rPr>
      </w:pPr>
    </w:p>
    <w:p w14:paraId="62A487F0" w14:textId="0176C806" w:rsidR="005B0B84" w:rsidRDefault="005B0B84" w:rsidP="00614C0A">
      <w:pPr>
        <w:pStyle w:val="a3"/>
        <w:spacing w:after="0" w:line="240" w:lineRule="auto"/>
        <w:ind w:left="0"/>
        <w:jc w:val="right"/>
        <w:rPr>
          <w:rFonts w:ascii="Times New Roman" w:hAnsi="Times New Roman" w:cs="Times New Roman"/>
          <w:sz w:val="24"/>
          <w:szCs w:val="24"/>
        </w:rPr>
      </w:pPr>
    </w:p>
    <w:p w14:paraId="5E77EC69" w14:textId="39B5713B" w:rsidR="005B0B84" w:rsidRDefault="005B0B84" w:rsidP="00614C0A">
      <w:pPr>
        <w:pStyle w:val="a3"/>
        <w:spacing w:after="0" w:line="240" w:lineRule="auto"/>
        <w:ind w:left="0"/>
        <w:jc w:val="right"/>
        <w:rPr>
          <w:rFonts w:ascii="Times New Roman" w:hAnsi="Times New Roman" w:cs="Times New Roman"/>
          <w:sz w:val="24"/>
          <w:szCs w:val="24"/>
        </w:rPr>
      </w:pPr>
    </w:p>
    <w:p w14:paraId="00C5AC4B" w14:textId="3A6F7424" w:rsidR="005B0B84" w:rsidRDefault="005B0B84" w:rsidP="00614C0A">
      <w:pPr>
        <w:pStyle w:val="a3"/>
        <w:spacing w:after="0" w:line="240" w:lineRule="auto"/>
        <w:ind w:left="0"/>
        <w:jc w:val="right"/>
        <w:rPr>
          <w:rFonts w:ascii="Times New Roman" w:hAnsi="Times New Roman" w:cs="Times New Roman"/>
          <w:sz w:val="24"/>
          <w:szCs w:val="24"/>
        </w:rPr>
      </w:pPr>
    </w:p>
    <w:p w14:paraId="60C75A13" w14:textId="5AD77DC4" w:rsidR="005B0B84" w:rsidRDefault="005B0B84" w:rsidP="00614C0A">
      <w:pPr>
        <w:pStyle w:val="a3"/>
        <w:spacing w:after="0" w:line="240" w:lineRule="auto"/>
        <w:ind w:left="0"/>
        <w:jc w:val="right"/>
        <w:rPr>
          <w:rFonts w:ascii="Times New Roman" w:hAnsi="Times New Roman" w:cs="Times New Roman"/>
          <w:sz w:val="24"/>
          <w:szCs w:val="24"/>
        </w:rPr>
      </w:pPr>
    </w:p>
    <w:p w14:paraId="1800B381" w14:textId="18FDD256" w:rsidR="005B0B84" w:rsidRDefault="005B0B84" w:rsidP="00614C0A">
      <w:pPr>
        <w:pStyle w:val="a3"/>
        <w:spacing w:after="0" w:line="240" w:lineRule="auto"/>
        <w:ind w:left="0"/>
        <w:jc w:val="right"/>
        <w:rPr>
          <w:rFonts w:ascii="Times New Roman" w:hAnsi="Times New Roman" w:cs="Times New Roman"/>
          <w:sz w:val="24"/>
          <w:szCs w:val="24"/>
        </w:rPr>
      </w:pPr>
    </w:p>
    <w:p w14:paraId="2141470A" w14:textId="3F011BB3" w:rsidR="005B0B84" w:rsidRDefault="005B0B84" w:rsidP="00614C0A">
      <w:pPr>
        <w:pStyle w:val="a3"/>
        <w:spacing w:after="0" w:line="240" w:lineRule="auto"/>
        <w:ind w:left="0"/>
        <w:jc w:val="right"/>
        <w:rPr>
          <w:rFonts w:ascii="Times New Roman" w:hAnsi="Times New Roman" w:cs="Times New Roman"/>
          <w:sz w:val="24"/>
          <w:szCs w:val="24"/>
        </w:rPr>
      </w:pPr>
    </w:p>
    <w:p w14:paraId="5154CB65" w14:textId="49B81ACD" w:rsidR="005B0B84" w:rsidRDefault="005B0B84" w:rsidP="00614C0A">
      <w:pPr>
        <w:pStyle w:val="a3"/>
        <w:spacing w:after="0" w:line="240" w:lineRule="auto"/>
        <w:ind w:left="0"/>
        <w:jc w:val="right"/>
        <w:rPr>
          <w:rFonts w:ascii="Times New Roman" w:hAnsi="Times New Roman" w:cs="Times New Roman"/>
          <w:sz w:val="24"/>
          <w:szCs w:val="24"/>
        </w:rPr>
      </w:pPr>
    </w:p>
    <w:p w14:paraId="07BE4FB8" w14:textId="5C9DBF7C" w:rsidR="005B0B84" w:rsidRDefault="005B0B84" w:rsidP="00614C0A">
      <w:pPr>
        <w:pStyle w:val="a3"/>
        <w:spacing w:after="0" w:line="240" w:lineRule="auto"/>
        <w:ind w:left="0"/>
        <w:jc w:val="right"/>
        <w:rPr>
          <w:rFonts w:ascii="Times New Roman" w:hAnsi="Times New Roman" w:cs="Times New Roman"/>
          <w:sz w:val="24"/>
          <w:szCs w:val="24"/>
        </w:rPr>
      </w:pPr>
    </w:p>
    <w:p w14:paraId="7756A20C" w14:textId="5E9CC994" w:rsidR="005B0B84" w:rsidRDefault="005B0B84" w:rsidP="00614C0A">
      <w:pPr>
        <w:pStyle w:val="a3"/>
        <w:spacing w:after="0" w:line="240" w:lineRule="auto"/>
        <w:ind w:left="0"/>
        <w:jc w:val="right"/>
        <w:rPr>
          <w:rFonts w:ascii="Times New Roman" w:hAnsi="Times New Roman" w:cs="Times New Roman"/>
          <w:sz w:val="24"/>
          <w:szCs w:val="24"/>
        </w:rPr>
      </w:pPr>
    </w:p>
    <w:p w14:paraId="26198EB4" w14:textId="397CC3E3" w:rsidR="005B0B84" w:rsidRDefault="005B0B84" w:rsidP="00614C0A">
      <w:pPr>
        <w:pStyle w:val="a3"/>
        <w:spacing w:after="0" w:line="240" w:lineRule="auto"/>
        <w:ind w:left="0"/>
        <w:jc w:val="right"/>
        <w:rPr>
          <w:rFonts w:ascii="Times New Roman" w:hAnsi="Times New Roman" w:cs="Times New Roman"/>
          <w:sz w:val="24"/>
          <w:szCs w:val="24"/>
        </w:rPr>
      </w:pPr>
    </w:p>
    <w:p w14:paraId="17BDDC89" w14:textId="2E200404" w:rsidR="005B0B84" w:rsidRDefault="005B0B84" w:rsidP="00614C0A">
      <w:pPr>
        <w:pStyle w:val="a3"/>
        <w:spacing w:after="0" w:line="240" w:lineRule="auto"/>
        <w:ind w:left="0"/>
        <w:jc w:val="right"/>
        <w:rPr>
          <w:rFonts w:ascii="Times New Roman" w:hAnsi="Times New Roman" w:cs="Times New Roman"/>
          <w:sz w:val="24"/>
          <w:szCs w:val="24"/>
        </w:rPr>
      </w:pPr>
    </w:p>
    <w:p w14:paraId="5B95E8F5" w14:textId="51E12A56" w:rsidR="005B0B84" w:rsidRDefault="005B0B84" w:rsidP="00614C0A">
      <w:pPr>
        <w:pStyle w:val="a3"/>
        <w:spacing w:after="0" w:line="240" w:lineRule="auto"/>
        <w:ind w:left="0"/>
        <w:jc w:val="right"/>
        <w:rPr>
          <w:rFonts w:ascii="Times New Roman" w:hAnsi="Times New Roman" w:cs="Times New Roman"/>
          <w:sz w:val="24"/>
          <w:szCs w:val="24"/>
        </w:rPr>
      </w:pPr>
    </w:p>
    <w:p w14:paraId="07EAE138" w14:textId="58CEC78E" w:rsidR="005B0B84" w:rsidRDefault="005B0B84" w:rsidP="00614C0A">
      <w:pPr>
        <w:pStyle w:val="a3"/>
        <w:spacing w:after="0" w:line="240" w:lineRule="auto"/>
        <w:ind w:left="0"/>
        <w:jc w:val="right"/>
        <w:rPr>
          <w:rFonts w:ascii="Times New Roman" w:hAnsi="Times New Roman" w:cs="Times New Roman"/>
          <w:sz w:val="24"/>
          <w:szCs w:val="24"/>
        </w:rPr>
      </w:pPr>
    </w:p>
    <w:p w14:paraId="0FCA84DB" w14:textId="5B66B901" w:rsidR="005B0B84" w:rsidRDefault="005B0B84" w:rsidP="00614C0A">
      <w:pPr>
        <w:pStyle w:val="a3"/>
        <w:spacing w:after="0" w:line="240" w:lineRule="auto"/>
        <w:ind w:left="0"/>
        <w:jc w:val="right"/>
        <w:rPr>
          <w:rFonts w:ascii="Times New Roman" w:hAnsi="Times New Roman" w:cs="Times New Roman"/>
          <w:sz w:val="24"/>
          <w:szCs w:val="24"/>
        </w:rPr>
      </w:pPr>
    </w:p>
    <w:p w14:paraId="21CDFFD0" w14:textId="0B44B8B4" w:rsidR="005B0B84" w:rsidRDefault="005B0B84" w:rsidP="00614C0A">
      <w:pPr>
        <w:pStyle w:val="a3"/>
        <w:spacing w:after="0" w:line="240" w:lineRule="auto"/>
        <w:ind w:left="0"/>
        <w:jc w:val="right"/>
        <w:rPr>
          <w:rFonts w:ascii="Times New Roman" w:hAnsi="Times New Roman" w:cs="Times New Roman"/>
          <w:sz w:val="24"/>
          <w:szCs w:val="24"/>
        </w:rPr>
      </w:pPr>
    </w:p>
    <w:p w14:paraId="6328F0FA" w14:textId="2320A3B2" w:rsidR="005B0B84" w:rsidRDefault="005B0B84" w:rsidP="00614C0A">
      <w:pPr>
        <w:pStyle w:val="a3"/>
        <w:spacing w:after="0" w:line="240" w:lineRule="auto"/>
        <w:ind w:left="0"/>
        <w:jc w:val="right"/>
        <w:rPr>
          <w:rFonts w:ascii="Times New Roman" w:hAnsi="Times New Roman" w:cs="Times New Roman"/>
          <w:sz w:val="24"/>
          <w:szCs w:val="24"/>
        </w:rPr>
      </w:pPr>
    </w:p>
    <w:p w14:paraId="1BC0C11E" w14:textId="08698DF3" w:rsidR="005B0B84" w:rsidRDefault="005B0B84" w:rsidP="00614C0A">
      <w:pPr>
        <w:pStyle w:val="a3"/>
        <w:spacing w:after="0" w:line="240" w:lineRule="auto"/>
        <w:ind w:left="0"/>
        <w:jc w:val="right"/>
        <w:rPr>
          <w:rFonts w:ascii="Times New Roman" w:hAnsi="Times New Roman" w:cs="Times New Roman"/>
          <w:sz w:val="24"/>
          <w:szCs w:val="24"/>
        </w:rPr>
      </w:pPr>
    </w:p>
    <w:p w14:paraId="1652DF46" w14:textId="044C3841" w:rsidR="005B0B84" w:rsidRDefault="005B0B84" w:rsidP="00614C0A">
      <w:pPr>
        <w:pStyle w:val="a3"/>
        <w:spacing w:after="0" w:line="240" w:lineRule="auto"/>
        <w:ind w:left="0"/>
        <w:jc w:val="right"/>
        <w:rPr>
          <w:rFonts w:ascii="Times New Roman" w:hAnsi="Times New Roman" w:cs="Times New Roman"/>
          <w:sz w:val="24"/>
          <w:szCs w:val="24"/>
        </w:rPr>
      </w:pPr>
    </w:p>
    <w:p w14:paraId="7B16D573" w14:textId="360793B1" w:rsidR="005B0B84" w:rsidRDefault="005B0B84" w:rsidP="00614C0A">
      <w:pPr>
        <w:pStyle w:val="a3"/>
        <w:spacing w:after="0" w:line="240" w:lineRule="auto"/>
        <w:ind w:left="0"/>
        <w:jc w:val="right"/>
        <w:rPr>
          <w:rFonts w:ascii="Times New Roman" w:hAnsi="Times New Roman" w:cs="Times New Roman"/>
          <w:sz w:val="24"/>
          <w:szCs w:val="24"/>
        </w:rPr>
      </w:pPr>
    </w:p>
    <w:p w14:paraId="5BB9AAF7" w14:textId="7CEA0D4E" w:rsidR="005B0B84" w:rsidRDefault="005B0B84" w:rsidP="00614C0A">
      <w:pPr>
        <w:pStyle w:val="a3"/>
        <w:spacing w:after="0" w:line="240" w:lineRule="auto"/>
        <w:ind w:left="0"/>
        <w:jc w:val="right"/>
        <w:rPr>
          <w:rFonts w:ascii="Times New Roman" w:hAnsi="Times New Roman" w:cs="Times New Roman"/>
          <w:sz w:val="24"/>
          <w:szCs w:val="24"/>
        </w:rPr>
      </w:pPr>
    </w:p>
    <w:p w14:paraId="5327F540" w14:textId="77777777" w:rsidR="005B0B84" w:rsidRDefault="005B0B84" w:rsidP="00614C0A">
      <w:pPr>
        <w:pStyle w:val="a3"/>
        <w:spacing w:after="0" w:line="240" w:lineRule="auto"/>
        <w:ind w:left="0"/>
        <w:jc w:val="right"/>
        <w:rPr>
          <w:rFonts w:ascii="Times New Roman" w:hAnsi="Times New Roman" w:cs="Times New Roman"/>
          <w:sz w:val="24"/>
          <w:szCs w:val="24"/>
        </w:rPr>
      </w:pPr>
    </w:p>
    <w:p w14:paraId="37F714E7"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1CE9A98D"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4B1A5293"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4BDEAEC3"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38E3551E"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0445376B"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6E6BBD57"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364B98A9" w14:textId="6E209EFF" w:rsidR="001119C7" w:rsidRDefault="001119C7" w:rsidP="005A6D01">
      <w:pPr>
        <w:pStyle w:val="a3"/>
        <w:spacing w:after="0" w:line="240" w:lineRule="auto"/>
        <w:ind w:left="0"/>
        <w:jc w:val="center"/>
        <w:rPr>
          <w:rFonts w:ascii="Times New Roman" w:hAnsi="Times New Roman" w:cs="Times New Roman"/>
          <w:sz w:val="24"/>
          <w:szCs w:val="24"/>
        </w:rPr>
      </w:pPr>
    </w:p>
    <w:p w14:paraId="0D2C4E29"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77BF284C"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7B79EEA8" w14:textId="77777777" w:rsidR="001119C7" w:rsidRDefault="001119C7" w:rsidP="00614C0A">
      <w:pPr>
        <w:pStyle w:val="a3"/>
        <w:spacing w:after="0" w:line="240" w:lineRule="auto"/>
        <w:ind w:left="0"/>
        <w:jc w:val="right"/>
        <w:rPr>
          <w:rFonts w:ascii="Times New Roman" w:hAnsi="Times New Roman" w:cs="Times New Roman"/>
          <w:sz w:val="24"/>
          <w:szCs w:val="24"/>
        </w:rPr>
      </w:pPr>
    </w:p>
    <w:p w14:paraId="76D225E9" w14:textId="3EE55B52" w:rsidR="00940DC9" w:rsidRDefault="00940DC9" w:rsidP="00614C0A">
      <w:pPr>
        <w:pStyle w:val="a3"/>
        <w:spacing w:after="0" w:line="240" w:lineRule="auto"/>
        <w:ind w:left="0"/>
        <w:jc w:val="right"/>
        <w:rPr>
          <w:rFonts w:ascii="Times New Roman" w:hAnsi="Times New Roman" w:cs="Times New Roman"/>
          <w:sz w:val="24"/>
          <w:szCs w:val="24"/>
        </w:rPr>
      </w:pPr>
    </w:p>
    <w:p w14:paraId="7FED1E52" w14:textId="46B11F35" w:rsidR="0087799A" w:rsidRDefault="0087799A" w:rsidP="00614C0A">
      <w:pPr>
        <w:pStyle w:val="a3"/>
        <w:spacing w:after="0" w:line="240" w:lineRule="auto"/>
        <w:ind w:left="0"/>
        <w:jc w:val="right"/>
        <w:rPr>
          <w:rFonts w:ascii="Times New Roman" w:hAnsi="Times New Roman" w:cs="Times New Roman"/>
          <w:sz w:val="24"/>
          <w:szCs w:val="24"/>
        </w:rPr>
      </w:pPr>
    </w:p>
    <w:p w14:paraId="140711FE" w14:textId="6E49F9AA" w:rsidR="0087799A" w:rsidRDefault="0087799A" w:rsidP="00614C0A">
      <w:pPr>
        <w:pStyle w:val="a3"/>
        <w:spacing w:after="0" w:line="240" w:lineRule="auto"/>
        <w:ind w:left="0"/>
        <w:jc w:val="right"/>
        <w:rPr>
          <w:rFonts w:ascii="Times New Roman" w:hAnsi="Times New Roman" w:cs="Times New Roman"/>
          <w:sz w:val="24"/>
          <w:szCs w:val="24"/>
        </w:rPr>
      </w:pPr>
    </w:p>
    <w:p w14:paraId="26FBD809" w14:textId="269B8CB1" w:rsidR="0087799A" w:rsidRDefault="0087799A" w:rsidP="00614C0A">
      <w:pPr>
        <w:pStyle w:val="a3"/>
        <w:spacing w:after="0" w:line="240" w:lineRule="auto"/>
        <w:ind w:left="0"/>
        <w:jc w:val="right"/>
        <w:rPr>
          <w:rFonts w:ascii="Times New Roman" w:hAnsi="Times New Roman" w:cs="Times New Roman"/>
          <w:sz w:val="24"/>
          <w:szCs w:val="24"/>
        </w:rPr>
      </w:pPr>
    </w:p>
    <w:p w14:paraId="3871175A" w14:textId="6599A23F" w:rsidR="0087799A" w:rsidRDefault="0087799A" w:rsidP="00614C0A">
      <w:pPr>
        <w:pStyle w:val="a3"/>
        <w:spacing w:after="0" w:line="240" w:lineRule="auto"/>
        <w:ind w:left="0"/>
        <w:jc w:val="right"/>
        <w:rPr>
          <w:rFonts w:ascii="Times New Roman" w:hAnsi="Times New Roman" w:cs="Times New Roman"/>
          <w:sz w:val="24"/>
          <w:szCs w:val="24"/>
        </w:rPr>
      </w:pPr>
    </w:p>
    <w:p w14:paraId="51F240D3" w14:textId="55ADB4BE" w:rsidR="0087799A" w:rsidRDefault="0087799A" w:rsidP="00614C0A">
      <w:pPr>
        <w:pStyle w:val="a3"/>
        <w:spacing w:after="0" w:line="240" w:lineRule="auto"/>
        <w:ind w:left="0"/>
        <w:jc w:val="right"/>
        <w:rPr>
          <w:rFonts w:ascii="Times New Roman" w:hAnsi="Times New Roman" w:cs="Times New Roman"/>
          <w:sz w:val="24"/>
          <w:szCs w:val="24"/>
        </w:rPr>
      </w:pPr>
    </w:p>
    <w:p w14:paraId="03FBD1EA" w14:textId="6EB0BF45" w:rsidR="0087799A" w:rsidRDefault="0087799A" w:rsidP="00614C0A">
      <w:pPr>
        <w:pStyle w:val="a3"/>
        <w:spacing w:after="0" w:line="240" w:lineRule="auto"/>
        <w:ind w:left="0"/>
        <w:jc w:val="right"/>
        <w:rPr>
          <w:rFonts w:ascii="Times New Roman" w:hAnsi="Times New Roman" w:cs="Times New Roman"/>
          <w:sz w:val="24"/>
          <w:szCs w:val="24"/>
        </w:rPr>
      </w:pPr>
    </w:p>
    <w:p w14:paraId="0DA69BED" w14:textId="77777777" w:rsidR="0087799A" w:rsidRDefault="0087799A" w:rsidP="00614C0A">
      <w:pPr>
        <w:pStyle w:val="a3"/>
        <w:spacing w:after="0" w:line="240" w:lineRule="auto"/>
        <w:ind w:left="0"/>
        <w:jc w:val="right"/>
        <w:rPr>
          <w:rFonts w:ascii="Times New Roman" w:hAnsi="Times New Roman" w:cs="Times New Roman"/>
          <w:sz w:val="24"/>
          <w:szCs w:val="24"/>
        </w:rPr>
      </w:pPr>
    </w:p>
    <w:p w14:paraId="30700FF4" w14:textId="00B69080" w:rsidR="003370C5" w:rsidRDefault="003370C5" w:rsidP="00614C0A">
      <w:pPr>
        <w:pStyle w:val="a3"/>
        <w:spacing w:after="0" w:line="240" w:lineRule="auto"/>
        <w:ind w:left="0"/>
        <w:jc w:val="right"/>
        <w:rPr>
          <w:rFonts w:ascii="Times New Roman" w:hAnsi="Times New Roman" w:cs="Times New Roman"/>
          <w:sz w:val="24"/>
          <w:szCs w:val="24"/>
        </w:rPr>
        <w:sectPr w:rsidR="003370C5" w:rsidSect="001119C7">
          <w:type w:val="continuous"/>
          <w:pgSz w:w="11906" w:h="16838"/>
          <w:pgMar w:top="1134" w:right="850" w:bottom="1134" w:left="1701" w:header="708" w:footer="708" w:gutter="0"/>
          <w:cols w:space="283"/>
          <w:docGrid w:linePitch="360"/>
        </w:sectPr>
      </w:pPr>
    </w:p>
    <w:p w14:paraId="413EF994" w14:textId="77777777" w:rsidR="003E254B" w:rsidRDefault="003E254B" w:rsidP="00614C0A">
      <w:pPr>
        <w:pStyle w:val="a3"/>
        <w:spacing w:after="0" w:line="240" w:lineRule="auto"/>
        <w:ind w:left="0"/>
        <w:jc w:val="right"/>
        <w:rPr>
          <w:rFonts w:ascii="Times New Roman" w:hAnsi="Times New Roman" w:cs="Times New Roman"/>
          <w:sz w:val="24"/>
          <w:szCs w:val="24"/>
        </w:rPr>
        <w:sectPr w:rsidR="003E254B" w:rsidSect="001119C7">
          <w:type w:val="continuous"/>
          <w:pgSz w:w="11906" w:h="16838"/>
          <w:pgMar w:top="1134" w:right="850" w:bottom="1134" w:left="1701" w:header="708" w:footer="708" w:gutter="0"/>
          <w:cols w:space="283"/>
          <w:docGrid w:linePitch="360"/>
        </w:sectPr>
      </w:pPr>
    </w:p>
    <w:p w14:paraId="2BA0BBCA" w14:textId="77777777" w:rsidR="003E254B" w:rsidRDefault="003E254B" w:rsidP="003E254B">
      <w:pPr>
        <w:pStyle w:val="a3"/>
        <w:spacing w:after="0" w:line="240" w:lineRule="auto"/>
        <w:ind w:left="0"/>
        <w:rPr>
          <w:rFonts w:ascii="Times New Roman" w:hAnsi="Times New Roman" w:cs="Times New Roman"/>
          <w:sz w:val="24"/>
          <w:szCs w:val="24"/>
        </w:rPr>
        <w:sectPr w:rsidR="003E254B" w:rsidSect="001119C7">
          <w:type w:val="continuous"/>
          <w:pgSz w:w="11906" w:h="16838"/>
          <w:pgMar w:top="1134" w:right="850" w:bottom="1134" w:left="1701" w:header="708" w:footer="708" w:gutter="0"/>
          <w:cols w:space="283"/>
          <w:docGrid w:linePitch="360"/>
        </w:sectPr>
      </w:pPr>
    </w:p>
    <w:p w14:paraId="5050FDBD" w14:textId="77777777" w:rsidR="003E254B" w:rsidRPr="001119C7" w:rsidRDefault="003E254B" w:rsidP="003E254B">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lastRenderedPageBreak/>
        <w:t xml:space="preserve">Утверждаемая </w:t>
      </w:r>
      <w:r w:rsidR="00D20814">
        <w:rPr>
          <w:rFonts w:ascii="Times New Roman" w:hAnsi="Times New Roman" w:cs="Times New Roman"/>
          <w:sz w:val="24"/>
          <w:szCs w:val="24"/>
        </w:rPr>
        <w:t>текстовая</w:t>
      </w:r>
      <w:r w:rsidRPr="001119C7">
        <w:rPr>
          <w:rFonts w:ascii="Times New Roman" w:hAnsi="Times New Roman" w:cs="Times New Roman"/>
          <w:sz w:val="24"/>
          <w:szCs w:val="24"/>
        </w:rPr>
        <w:t xml:space="preserve"> часть </w:t>
      </w:r>
    </w:p>
    <w:p w14:paraId="4E230ED4" w14:textId="77777777" w:rsidR="003E254B" w:rsidRPr="001119C7" w:rsidRDefault="003E254B" w:rsidP="003E254B">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 xml:space="preserve">проекта планировки территории </w:t>
      </w:r>
    </w:p>
    <w:p w14:paraId="31FCCCAF" w14:textId="77777777" w:rsidR="003E254B" w:rsidRPr="001119C7" w:rsidRDefault="003E254B" w:rsidP="003E254B">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 xml:space="preserve">для размещения объекта </w:t>
      </w:r>
    </w:p>
    <w:p w14:paraId="4A451E1B" w14:textId="77777777" w:rsidR="003E254B" w:rsidRPr="001119C7" w:rsidRDefault="003E254B" w:rsidP="003E254B">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Ханты-Мансийского автономного округа - Югры</w:t>
      </w:r>
    </w:p>
    <w:p w14:paraId="58A0C50E" w14:textId="77777777" w:rsidR="003E254B" w:rsidRPr="001119C7" w:rsidRDefault="00594D58" w:rsidP="003E254B">
      <w:pPr>
        <w:pStyle w:val="a3"/>
        <w:spacing w:after="0" w:line="240" w:lineRule="auto"/>
        <w:ind w:left="0"/>
        <w:rPr>
          <w:rFonts w:ascii="Times New Roman" w:hAnsi="Times New Roman" w:cs="Times New Roman"/>
          <w:sz w:val="24"/>
          <w:szCs w:val="24"/>
        </w:rPr>
      </w:pPr>
      <w:r>
        <w:rPr>
          <w:rFonts w:ascii="Times New Roman" w:hAnsi="Times New Roman" w:cs="Times New Roman"/>
          <w:sz w:val="24"/>
          <w:szCs w:val="24"/>
        </w:rPr>
        <w:t>«</w:t>
      </w:r>
      <w:r w:rsidR="00A57F22" w:rsidRPr="00D17F0A">
        <w:rPr>
          <w:rFonts w:ascii="Times New Roman" w:hAnsi="Times New Roman" w:cs="Times New Roman"/>
          <w:spacing w:val="-4"/>
          <w:sz w:val="24"/>
          <w:szCs w:val="24"/>
        </w:rPr>
        <w:fldChar w:fldCharType="begin"/>
      </w:r>
      <w:r w:rsidRPr="00D17F0A">
        <w:rPr>
          <w:rFonts w:ascii="Times New Roman" w:hAnsi="Times New Roman" w:cs="Times New Roman"/>
          <w:spacing w:val="-4"/>
          <w:sz w:val="24"/>
          <w:szCs w:val="24"/>
        </w:rPr>
        <w:instrText xml:space="preserve"> DOCPROPERTY  Название  \* MERGEFORMAT </w:instrText>
      </w:r>
      <w:r w:rsidR="00A57F22" w:rsidRPr="00D17F0A">
        <w:rPr>
          <w:rFonts w:ascii="Times New Roman" w:hAnsi="Times New Roman" w:cs="Times New Roman"/>
          <w:spacing w:val="-4"/>
          <w:sz w:val="24"/>
          <w:szCs w:val="24"/>
        </w:rPr>
        <w:fldChar w:fldCharType="separate"/>
      </w:r>
      <w:r w:rsidRPr="00D17F0A">
        <w:rPr>
          <w:rFonts w:ascii="Times New Roman" w:hAnsi="Times New Roman" w:cs="Times New Roman"/>
          <w:spacing w:val="-4"/>
          <w:sz w:val="24"/>
          <w:szCs w:val="24"/>
        </w:rPr>
        <w:t>Обустройство кустовой площадки №17 Средне-Назымского лицензионного участка</w:t>
      </w:r>
      <w:r w:rsidR="00A57F22" w:rsidRPr="00D17F0A">
        <w:rPr>
          <w:rFonts w:ascii="Times New Roman" w:hAnsi="Times New Roman" w:cs="Times New Roman"/>
          <w:spacing w:val="-4"/>
          <w:sz w:val="24"/>
          <w:szCs w:val="24"/>
        </w:rPr>
        <w:fldChar w:fldCharType="end"/>
      </w:r>
      <w:r w:rsidR="003E254B" w:rsidRPr="001119C7">
        <w:rPr>
          <w:rFonts w:ascii="Times New Roman" w:hAnsi="Times New Roman" w:cs="Times New Roman"/>
          <w:sz w:val="24"/>
          <w:szCs w:val="24"/>
        </w:rPr>
        <w:t>»</w:t>
      </w:r>
    </w:p>
    <w:p w14:paraId="2AB47C5C" w14:textId="77777777" w:rsidR="003E254B" w:rsidRDefault="003E254B" w:rsidP="003E254B">
      <w:pPr>
        <w:pStyle w:val="a3"/>
        <w:spacing w:after="0" w:line="240" w:lineRule="auto"/>
        <w:ind w:left="0"/>
        <w:rPr>
          <w:rFonts w:ascii="Times New Roman" w:hAnsi="Times New Roman" w:cs="Times New Roman"/>
          <w:sz w:val="24"/>
          <w:szCs w:val="24"/>
        </w:rPr>
      </w:pPr>
      <w:r w:rsidRPr="001119C7">
        <w:rPr>
          <w:rFonts w:ascii="Times New Roman" w:hAnsi="Times New Roman" w:cs="Times New Roman"/>
          <w:sz w:val="24"/>
          <w:szCs w:val="24"/>
        </w:rPr>
        <w:t>Землепользователь: АО «РИТЭК» ТПП «РИТЭКБелоярскнефть»</w:t>
      </w:r>
    </w:p>
    <w:p w14:paraId="691399D4" w14:textId="77777777" w:rsidR="004D5A6D" w:rsidRDefault="004D5A6D" w:rsidP="003E254B">
      <w:pPr>
        <w:pStyle w:val="a3"/>
        <w:spacing w:after="0" w:line="240" w:lineRule="auto"/>
        <w:ind w:left="0"/>
        <w:rPr>
          <w:rFonts w:ascii="Times New Roman" w:hAnsi="Times New Roman" w:cs="Times New Roman"/>
          <w:sz w:val="24"/>
          <w:szCs w:val="24"/>
        </w:rPr>
      </w:pPr>
    </w:p>
    <w:p w14:paraId="30015400" w14:textId="77777777" w:rsidR="004D5A6D" w:rsidRDefault="004D5A6D" w:rsidP="003E254B">
      <w:pPr>
        <w:pStyle w:val="a3"/>
        <w:spacing w:after="0" w:line="240" w:lineRule="auto"/>
        <w:ind w:left="0"/>
        <w:jc w:val="right"/>
        <w:rPr>
          <w:rFonts w:ascii="Times New Roman" w:hAnsi="Times New Roman" w:cs="Times New Roman"/>
          <w:sz w:val="24"/>
          <w:szCs w:val="24"/>
        </w:rPr>
      </w:pPr>
    </w:p>
    <w:p w14:paraId="396E984C" w14:textId="77777777" w:rsidR="00D20814" w:rsidRDefault="004D5A6D" w:rsidP="004D5A6D">
      <w:pPr>
        <w:pStyle w:val="a3"/>
        <w:numPr>
          <w:ilvl w:val="0"/>
          <w:numId w:val="2"/>
        </w:num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Проект планировки территории</w:t>
      </w:r>
    </w:p>
    <w:p w14:paraId="62D57F1D" w14:textId="77777777" w:rsidR="004D5A6D" w:rsidRDefault="004D5A6D" w:rsidP="004D5A6D">
      <w:pPr>
        <w:pStyle w:val="a3"/>
        <w:numPr>
          <w:ilvl w:val="0"/>
          <w:numId w:val="3"/>
        </w:numPr>
        <w:spacing w:line="360" w:lineRule="auto"/>
        <w:jc w:val="center"/>
        <w:rPr>
          <w:rFonts w:ascii="Times New Roman" w:hAnsi="Times New Roman" w:cs="Times New Roman"/>
          <w:sz w:val="24"/>
          <w:szCs w:val="24"/>
        </w:rPr>
      </w:pPr>
      <w:r>
        <w:rPr>
          <w:rFonts w:ascii="Times New Roman" w:hAnsi="Times New Roman" w:cs="Times New Roman"/>
          <w:sz w:val="24"/>
          <w:szCs w:val="24"/>
        </w:rPr>
        <w:t>Положения о характеристиках планируемого развития территории</w:t>
      </w:r>
    </w:p>
    <w:p w14:paraId="337A5DC4" w14:textId="77777777" w:rsidR="004D5A6D" w:rsidRDefault="004D5A6D" w:rsidP="00CD33E9">
      <w:pPr>
        <w:pStyle w:val="a3"/>
        <w:numPr>
          <w:ilvl w:val="1"/>
          <w:numId w:val="3"/>
        </w:numPr>
        <w:spacing w:line="360" w:lineRule="auto"/>
        <w:jc w:val="center"/>
        <w:rPr>
          <w:rFonts w:ascii="Times New Roman" w:hAnsi="Times New Roman" w:cs="Times New Roman"/>
          <w:sz w:val="24"/>
          <w:szCs w:val="24"/>
        </w:rPr>
      </w:pPr>
      <w:r>
        <w:rPr>
          <w:rFonts w:ascii="Times New Roman" w:hAnsi="Times New Roman" w:cs="Times New Roman"/>
          <w:sz w:val="24"/>
          <w:szCs w:val="24"/>
        </w:rPr>
        <w:t>Общие положения</w:t>
      </w:r>
    </w:p>
    <w:p w14:paraId="786C070F" w14:textId="74E045C5" w:rsidR="004D5A6D" w:rsidRPr="0087799A" w:rsidRDefault="004D5A6D" w:rsidP="004D5A6D">
      <w:pPr>
        <w:pStyle w:val="Default"/>
        <w:spacing w:line="360" w:lineRule="auto"/>
        <w:ind w:left="142" w:firstLine="709"/>
        <w:jc w:val="both"/>
        <w:rPr>
          <w:rFonts w:ascii="Times New Roman" w:hAnsi="Times New Roman" w:cs="Times New Roman"/>
          <w:spacing w:val="-4"/>
        </w:rPr>
      </w:pPr>
      <w:r>
        <w:rPr>
          <w:rFonts w:ascii="Times New Roman" w:hAnsi="Times New Roman" w:cs="Times New Roman"/>
        </w:rPr>
        <w:t xml:space="preserve">Проект планировки территории </w:t>
      </w:r>
      <w:r w:rsidR="00CD33E9">
        <w:rPr>
          <w:rFonts w:ascii="Times New Roman" w:hAnsi="Times New Roman" w:cs="Times New Roman"/>
        </w:rPr>
        <w:t xml:space="preserve">для размещения линейного </w:t>
      </w:r>
      <w:r>
        <w:rPr>
          <w:rFonts w:ascii="Times New Roman" w:hAnsi="Times New Roman" w:cs="Times New Roman"/>
        </w:rPr>
        <w:t>объекта</w:t>
      </w:r>
      <w:r w:rsidR="00CD33E9">
        <w:rPr>
          <w:rFonts w:ascii="Times New Roman" w:hAnsi="Times New Roman" w:cs="Times New Roman"/>
        </w:rPr>
        <w:t xml:space="preserve"> </w:t>
      </w:r>
      <w:r w:rsidRPr="004D5A6D">
        <w:rPr>
          <w:rFonts w:ascii="Times New Roman" w:hAnsi="Times New Roman" w:cs="Times New Roman"/>
        </w:rPr>
        <w:t>«</w:t>
      </w:r>
      <w:r w:rsidR="00A57F22" w:rsidRPr="00D17F0A">
        <w:rPr>
          <w:rFonts w:ascii="Times New Roman" w:hAnsi="Times New Roman" w:cs="Times New Roman"/>
          <w:spacing w:val="-4"/>
        </w:rPr>
        <w:fldChar w:fldCharType="begin"/>
      </w:r>
      <w:r w:rsidR="00594D58" w:rsidRPr="00D17F0A">
        <w:rPr>
          <w:rFonts w:ascii="Times New Roman" w:hAnsi="Times New Roman" w:cs="Times New Roman"/>
          <w:spacing w:val="-4"/>
        </w:rPr>
        <w:instrText xml:space="preserve"> DOCPROPERTY  Название  \* MERGEFORMAT </w:instrText>
      </w:r>
      <w:r w:rsidR="00A57F22" w:rsidRPr="00D17F0A">
        <w:rPr>
          <w:rFonts w:ascii="Times New Roman" w:hAnsi="Times New Roman" w:cs="Times New Roman"/>
          <w:spacing w:val="-4"/>
        </w:rPr>
        <w:fldChar w:fldCharType="separate"/>
      </w:r>
      <w:r w:rsidR="00594D58" w:rsidRPr="00D17F0A">
        <w:rPr>
          <w:rFonts w:ascii="Times New Roman" w:hAnsi="Times New Roman" w:cs="Times New Roman"/>
          <w:spacing w:val="-4"/>
        </w:rPr>
        <w:t>Обустройство кустовой площадки №17 Средне-Назымского лицензионного участка</w:t>
      </w:r>
      <w:r w:rsidR="00A57F22" w:rsidRPr="00D17F0A">
        <w:rPr>
          <w:rFonts w:ascii="Times New Roman" w:hAnsi="Times New Roman" w:cs="Times New Roman"/>
          <w:spacing w:val="-4"/>
        </w:rPr>
        <w:fldChar w:fldCharType="end"/>
      </w:r>
      <w:r w:rsidRPr="0087799A">
        <w:rPr>
          <w:rFonts w:ascii="Times New Roman" w:hAnsi="Times New Roman" w:cs="Times New Roman"/>
          <w:spacing w:val="-4"/>
        </w:rPr>
        <w:t>» разработан на основании:</w:t>
      </w:r>
    </w:p>
    <w:p w14:paraId="6357C900" w14:textId="77777777" w:rsidR="00CD33E9" w:rsidRPr="0087799A" w:rsidRDefault="00CD33E9" w:rsidP="004D5A6D">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 Градостроительного кодекса Российской Федерации;</w:t>
      </w:r>
    </w:p>
    <w:p w14:paraId="39C6FD43" w14:textId="77777777" w:rsidR="00CD33E9" w:rsidRPr="0087799A" w:rsidRDefault="00CD33E9" w:rsidP="00CD33E9">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 Земельного кодекса Российской Федерации;</w:t>
      </w:r>
    </w:p>
    <w:p w14:paraId="21EEBB46" w14:textId="45BBBA96" w:rsidR="00CD33E9" w:rsidRPr="0087799A" w:rsidRDefault="00CD33E9" w:rsidP="004D5A6D">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 xml:space="preserve">- Приказа Департамента строительства, архитектуры и ЖКХ Администрации Ханты-Мансийского района, Ханты-Мансийского автономного округа – Югры </w:t>
      </w:r>
      <w:r w:rsidR="0087799A" w:rsidRPr="0087799A">
        <w:rPr>
          <w:rFonts w:ascii="Times New Roman" w:hAnsi="Times New Roman" w:cs="Times New Roman"/>
          <w:spacing w:val="-4"/>
        </w:rPr>
        <w:t>от 13.02.2019 г. № 23-н;</w:t>
      </w:r>
    </w:p>
    <w:p w14:paraId="001B8228" w14:textId="77777777" w:rsidR="0087799A" w:rsidRPr="0087799A" w:rsidRDefault="0087799A" w:rsidP="0087799A">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 задания на проектирование по объекте «Обустройство кустовой площадки №17 Средне-Назымского лицензионного участка», утвержденного Первым заместителем генерального директора – Главным инженером АО «РИТЭК» Маслановым А.А. от 24.04.2018г.;</w:t>
      </w:r>
    </w:p>
    <w:p w14:paraId="3A5CFBD1" w14:textId="77777777" w:rsidR="0087799A" w:rsidRPr="004376E0" w:rsidRDefault="0087799A" w:rsidP="0087799A">
      <w:pPr>
        <w:pStyle w:val="Default"/>
        <w:spacing w:line="360" w:lineRule="auto"/>
        <w:ind w:left="142" w:firstLine="709"/>
        <w:jc w:val="both"/>
        <w:rPr>
          <w:rFonts w:ascii="Times New Roman" w:hAnsi="Times New Roman" w:cs="Times New Roman"/>
          <w:spacing w:val="-4"/>
        </w:rPr>
      </w:pPr>
      <w:r w:rsidRPr="004376E0">
        <w:rPr>
          <w:rFonts w:ascii="Times New Roman" w:hAnsi="Times New Roman" w:cs="Times New Roman"/>
          <w:spacing w:val="-4"/>
        </w:rPr>
        <w:t>- дополнения №1 к заданию на проектирование «Обустройство кустовой площадки №17 Средне-Назымского лицензионного участка»;</w:t>
      </w:r>
    </w:p>
    <w:p w14:paraId="1C355F1D" w14:textId="77777777" w:rsidR="0087799A" w:rsidRPr="0087799A" w:rsidRDefault="0087799A" w:rsidP="0087799A">
      <w:pPr>
        <w:pStyle w:val="Default"/>
        <w:spacing w:line="360" w:lineRule="auto"/>
        <w:ind w:left="142" w:firstLine="709"/>
        <w:jc w:val="both"/>
        <w:rPr>
          <w:rFonts w:ascii="Times New Roman" w:hAnsi="Times New Roman" w:cs="Times New Roman"/>
          <w:spacing w:val="-4"/>
        </w:rPr>
      </w:pPr>
      <w:r w:rsidRPr="004376E0">
        <w:rPr>
          <w:rFonts w:ascii="Times New Roman" w:hAnsi="Times New Roman" w:cs="Times New Roman"/>
          <w:spacing w:val="-4"/>
        </w:rPr>
        <w:t>- дополнения №2 к заданию на проектирование "Обустройство кустовой площадки №17 Средне-Назымского лицензионного участка", утвержденного Первым заместителем генерального директора – Главным инженером ООО «РИТЭК» Нургалиевым Р.Г. от 17.12.2019 г.</w:t>
      </w:r>
    </w:p>
    <w:p w14:paraId="4F63C01F" w14:textId="77777777" w:rsidR="004D5A6D" w:rsidRPr="0087799A" w:rsidRDefault="00CD33E9" w:rsidP="00CD33E9">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 xml:space="preserve">- инженерных изысканий, выполненных ООО «ГеоКомплекс-М» </w:t>
      </w:r>
      <w:r w:rsidR="004D5A6D" w:rsidRPr="0087799A">
        <w:rPr>
          <w:rFonts w:ascii="Times New Roman" w:hAnsi="Times New Roman" w:cs="Times New Roman"/>
          <w:spacing w:val="-4"/>
        </w:rPr>
        <w:t>в 201</w:t>
      </w:r>
      <w:r w:rsidR="00FA19A0" w:rsidRPr="0087799A">
        <w:rPr>
          <w:rFonts w:ascii="Times New Roman" w:hAnsi="Times New Roman" w:cs="Times New Roman"/>
          <w:spacing w:val="-4"/>
        </w:rPr>
        <w:t>8</w:t>
      </w:r>
      <w:r w:rsidR="004D5A6D" w:rsidRPr="0087799A">
        <w:rPr>
          <w:rFonts w:ascii="Times New Roman" w:hAnsi="Times New Roman" w:cs="Times New Roman"/>
          <w:spacing w:val="-4"/>
        </w:rPr>
        <w:t xml:space="preserve"> году.</w:t>
      </w:r>
    </w:p>
    <w:p w14:paraId="40CE4D0A" w14:textId="0A964C80" w:rsidR="004D5A6D" w:rsidRPr="0087799A" w:rsidRDefault="00CD33E9" w:rsidP="0087799A">
      <w:pPr>
        <w:pStyle w:val="Default"/>
        <w:spacing w:line="360" w:lineRule="auto"/>
        <w:ind w:left="142" w:firstLine="709"/>
        <w:jc w:val="both"/>
        <w:rPr>
          <w:rFonts w:ascii="Times New Roman" w:hAnsi="Times New Roman" w:cs="Times New Roman"/>
          <w:spacing w:val="-4"/>
        </w:rPr>
      </w:pPr>
      <w:r w:rsidRPr="0087799A">
        <w:rPr>
          <w:rFonts w:ascii="Times New Roman" w:hAnsi="Times New Roman" w:cs="Times New Roman"/>
          <w:spacing w:val="-4"/>
        </w:rPr>
        <w:t>Проект планировки территории для размещения линейного объекта «</w:t>
      </w:r>
      <w:r w:rsidR="00A57F22" w:rsidRPr="00D17F0A">
        <w:rPr>
          <w:rFonts w:ascii="Times New Roman" w:hAnsi="Times New Roman" w:cs="Times New Roman"/>
          <w:spacing w:val="-4"/>
        </w:rPr>
        <w:fldChar w:fldCharType="begin"/>
      </w:r>
      <w:r w:rsidR="00FA19A0" w:rsidRPr="00D17F0A">
        <w:rPr>
          <w:rFonts w:ascii="Times New Roman" w:hAnsi="Times New Roman" w:cs="Times New Roman"/>
          <w:spacing w:val="-4"/>
        </w:rPr>
        <w:instrText xml:space="preserve"> DOCPROPERTY  Название  \* MERGEFORMAT </w:instrText>
      </w:r>
      <w:r w:rsidR="00A57F22" w:rsidRPr="00D17F0A">
        <w:rPr>
          <w:rFonts w:ascii="Times New Roman" w:hAnsi="Times New Roman" w:cs="Times New Roman"/>
          <w:spacing w:val="-4"/>
        </w:rPr>
        <w:fldChar w:fldCharType="separate"/>
      </w:r>
      <w:r w:rsidR="00FA19A0" w:rsidRPr="00D17F0A">
        <w:rPr>
          <w:rFonts w:ascii="Times New Roman" w:hAnsi="Times New Roman" w:cs="Times New Roman"/>
          <w:spacing w:val="-4"/>
        </w:rPr>
        <w:t>Обустройство кустовой площадки №17 Средне-Назымского лицензионного участка</w:t>
      </w:r>
      <w:r w:rsidR="00A57F22" w:rsidRPr="00D17F0A">
        <w:rPr>
          <w:rFonts w:ascii="Times New Roman" w:hAnsi="Times New Roman" w:cs="Times New Roman"/>
          <w:spacing w:val="-4"/>
        </w:rPr>
        <w:fldChar w:fldCharType="end"/>
      </w:r>
      <w:r w:rsidRPr="0087799A">
        <w:rPr>
          <w:rFonts w:ascii="Times New Roman" w:hAnsi="Times New Roman" w:cs="Times New Roman"/>
          <w:spacing w:val="-4"/>
        </w:rPr>
        <w:t xml:space="preserve">», расположенного </w:t>
      </w:r>
      <w:r w:rsidR="0087799A" w:rsidRPr="0087799A">
        <w:rPr>
          <w:rFonts w:ascii="Times New Roman" w:hAnsi="Times New Roman" w:cs="Times New Roman"/>
          <w:spacing w:val="-4"/>
        </w:rPr>
        <w:t>на территории Ханты-Мансийского автономного округа - Югра, Ханты-Мансийского района, Самаровского лесничества, Кедровского участкового лесничества, Урманного урочища.</w:t>
      </w:r>
    </w:p>
    <w:p w14:paraId="31E939F4" w14:textId="77777777" w:rsidR="00CD33E9" w:rsidRDefault="00CD33E9" w:rsidP="003D4D05">
      <w:pPr>
        <w:pStyle w:val="a3"/>
        <w:numPr>
          <w:ilvl w:val="0"/>
          <w:numId w:val="3"/>
        </w:numPr>
        <w:tabs>
          <w:tab w:val="left" w:pos="0"/>
        </w:tabs>
        <w:spacing w:before="240" w:line="360" w:lineRule="auto"/>
        <w:jc w:val="center"/>
        <w:rPr>
          <w:rFonts w:ascii="Times New Roman" w:hAnsi="Times New Roman" w:cs="Times New Roman"/>
          <w:sz w:val="24"/>
          <w:szCs w:val="24"/>
        </w:rPr>
      </w:pPr>
      <w:r w:rsidRPr="00CD33E9">
        <w:rPr>
          <w:rFonts w:ascii="Times New Roman" w:hAnsi="Times New Roman" w:cs="Times New Roman"/>
          <w:sz w:val="24"/>
          <w:szCs w:val="24"/>
        </w:rPr>
        <w:t>Положение о размещении линейного объекта</w:t>
      </w:r>
    </w:p>
    <w:p w14:paraId="5B610CD2" w14:textId="77777777" w:rsidR="00CD33E9" w:rsidRPr="00CD33E9" w:rsidRDefault="00CD33E9" w:rsidP="003D4D05">
      <w:pPr>
        <w:pStyle w:val="a3"/>
        <w:tabs>
          <w:tab w:val="left" w:pos="0"/>
        </w:tabs>
        <w:spacing w:before="240" w:line="360" w:lineRule="auto"/>
        <w:ind w:left="0"/>
        <w:jc w:val="both"/>
        <w:rPr>
          <w:rFonts w:ascii="Times New Roman" w:hAnsi="Times New Roman" w:cs="Times New Roman"/>
          <w:sz w:val="24"/>
          <w:szCs w:val="24"/>
        </w:rPr>
      </w:pPr>
      <w:r>
        <w:rPr>
          <w:rFonts w:ascii="Times New Roman" w:hAnsi="Times New Roman" w:cs="Times New Roman"/>
          <w:sz w:val="24"/>
          <w:szCs w:val="24"/>
        </w:rPr>
        <w:t>2.1 Наименование, основные характеристики и назначение планируемого для размещения линейного объекта</w:t>
      </w:r>
    </w:p>
    <w:p w14:paraId="61E66877" w14:textId="77777777" w:rsidR="005764FE" w:rsidRPr="005764FE" w:rsidRDefault="005764FE" w:rsidP="005764FE">
      <w:pPr>
        <w:pStyle w:val="ab"/>
        <w:tabs>
          <w:tab w:val="left" w:pos="9781"/>
          <w:tab w:val="left" w:pos="9923"/>
        </w:tabs>
        <w:spacing w:after="0" w:line="360" w:lineRule="auto"/>
        <w:ind w:firstLine="709"/>
        <w:rPr>
          <w:szCs w:val="24"/>
        </w:rPr>
      </w:pPr>
      <w:r w:rsidRPr="005764FE">
        <w:rPr>
          <w:szCs w:val="24"/>
        </w:rPr>
        <w:t>Объект строительства «</w:t>
      </w:r>
      <w:r w:rsidRPr="005764FE">
        <w:rPr>
          <w:szCs w:val="24"/>
        </w:rPr>
        <w:fldChar w:fldCharType="begin"/>
      </w:r>
      <w:r w:rsidRPr="005764FE">
        <w:rPr>
          <w:szCs w:val="24"/>
        </w:rPr>
        <w:instrText xml:space="preserve"> DOCPROPERTY  Название  \* MERGEFORMAT </w:instrText>
      </w:r>
      <w:r w:rsidRPr="005764FE">
        <w:rPr>
          <w:szCs w:val="24"/>
        </w:rPr>
        <w:fldChar w:fldCharType="separate"/>
      </w:r>
      <w:r w:rsidRPr="005764FE">
        <w:rPr>
          <w:szCs w:val="24"/>
        </w:rPr>
        <w:t>Обустройство кустовой площадки №17 Средне-Назымского лицензионного участка</w:t>
      </w:r>
      <w:r w:rsidRPr="005764FE">
        <w:rPr>
          <w:szCs w:val="24"/>
        </w:rPr>
        <w:fldChar w:fldCharType="end"/>
      </w:r>
      <w:r w:rsidRPr="005764FE">
        <w:rPr>
          <w:szCs w:val="24"/>
        </w:rPr>
        <w:t>» предназначен для сбора и транспортировки нефтегазоводяной смеси с кустовой площадки №17 до УДР-1 в районе Куста №1.</w:t>
      </w:r>
    </w:p>
    <w:p w14:paraId="4C59F2D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Строительство ведётся в девять этапов.</w:t>
      </w:r>
    </w:p>
    <w:p w14:paraId="31C6F66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1 этап:</w:t>
      </w:r>
    </w:p>
    <w:p w14:paraId="38E8B44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Автодорога от куста №17;</w:t>
      </w:r>
    </w:p>
    <w:p w14:paraId="5257D05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Инженерная подготовка под обустройство скважины №№ 1-18.</w:t>
      </w:r>
    </w:p>
    <w:p w14:paraId="0DE18D2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2 этап:</w:t>
      </w:r>
    </w:p>
    <w:p w14:paraId="20F1C7D3"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ВЛ-10 кВ (1 фидер) от т. отпайки от куста №17, протяженность 344 м;</w:t>
      </w:r>
    </w:p>
    <w:p w14:paraId="768BA04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ВЛ-10 кВ (2 фидер) от т. отпайки от куста №17, протяженность 384 м.</w:t>
      </w:r>
    </w:p>
    <w:p w14:paraId="6590873A"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3 этап:</w:t>
      </w:r>
    </w:p>
    <w:p w14:paraId="74A0A83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Нефтесборный трубопровод от куста №17 до точки врезки (протяженность 448,04 м, Ø159х6 мм).</w:t>
      </w:r>
    </w:p>
    <w:p w14:paraId="52613DC3"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xml:space="preserve">В состав инфраструктуры данного проектируемого трубопровода входят следующие объекты: </w:t>
      </w:r>
    </w:p>
    <w:p w14:paraId="778B3349"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xml:space="preserve">- площадка узла запорной арматуры (УЗА) № 1 на ПК 0+39,58; </w:t>
      </w:r>
    </w:p>
    <w:p w14:paraId="323B625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площадка УЗА № 2 на ПК 4+48,04.</w:t>
      </w:r>
    </w:p>
    <w:p w14:paraId="2B398AE3"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4 этап:</w:t>
      </w:r>
    </w:p>
    <w:p w14:paraId="5991FF07"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Обустройство 1 группы скважин Куста №17 с сопутствующими сооружениями.</w:t>
      </w:r>
    </w:p>
    <w:p w14:paraId="50F1A435"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xml:space="preserve">К объектам обустройства скважин №№ 1-4 относятся следующие проектируемые сооружения: </w:t>
      </w:r>
    </w:p>
    <w:p w14:paraId="613557F9"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приустьевая площадка добывающей скважины;</w:t>
      </w:r>
    </w:p>
    <w:p w14:paraId="567CD9A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водозаборная скважина № 3;</w:t>
      </w:r>
    </w:p>
    <w:p w14:paraId="0EB7A31C"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измерительная установка ИУ-1;</w:t>
      </w:r>
    </w:p>
    <w:p w14:paraId="35F913CF"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СУДР скважин №№ 1, 2, 4;</w:t>
      </w:r>
    </w:p>
    <w:p w14:paraId="2F79AD3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якоря оттяжек скважин №№ 1-4 – 16 шт.;</w:t>
      </w:r>
    </w:p>
    <w:p w14:paraId="69F7CA1C"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лубрикаторные площадки скважин №№ 1-4;</w:t>
      </w:r>
    </w:p>
    <w:p w14:paraId="621182EA"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ёмкость подземная дренажная, V=8 м3;</w:t>
      </w:r>
    </w:p>
    <w:p w14:paraId="54D836A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площадка под КТПН, СУ и ТМПН, БА в составе:</w:t>
      </w:r>
    </w:p>
    <w:p w14:paraId="05B68BBA"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КТПН;</w:t>
      </w:r>
    </w:p>
    <w:p w14:paraId="471B223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место установки ТМПН и СУ;</w:t>
      </w:r>
    </w:p>
    <w:p w14:paraId="76FD0C18"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блоки автоматики ИУ-1, ИУ-2;</w:t>
      </w:r>
    </w:p>
    <w:p w14:paraId="64C5ECA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прожекторная мачта с молниеотводом;</w:t>
      </w:r>
    </w:p>
    <w:p w14:paraId="1815A1B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молниеотвод, h=15 м;</w:t>
      </w:r>
    </w:p>
    <w:p w14:paraId="10E97612"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водоём противопожарного запаса воды;</w:t>
      </w:r>
    </w:p>
    <w:p w14:paraId="676357C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площадка для пожарной техники;</w:t>
      </w:r>
    </w:p>
    <w:p w14:paraId="692BFCF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эстакада.</w:t>
      </w:r>
    </w:p>
    <w:p w14:paraId="57951B2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5 этап:</w:t>
      </w:r>
    </w:p>
    <w:p w14:paraId="0E3F653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Обустройство 2 группы скважин Куста №17.</w:t>
      </w:r>
    </w:p>
    <w:p w14:paraId="311A8B61"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К объектам обустройства скважин №№ 5-8 относятся следующие проектируемые сооружения:</w:t>
      </w:r>
    </w:p>
    <w:p w14:paraId="6261DC02"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приустьевая площадка добывающей скважины;</w:t>
      </w:r>
    </w:p>
    <w:p w14:paraId="5F421569"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водозаборная скважина № 7;</w:t>
      </w:r>
    </w:p>
    <w:p w14:paraId="053C517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СУДР скважин №№ 5, 6, 8;</w:t>
      </w:r>
    </w:p>
    <w:p w14:paraId="760CE59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якоря оттяжек скважин №№ 5-8 – 16 шт.;</w:t>
      </w:r>
    </w:p>
    <w:p w14:paraId="67CFC823"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лубрикаторные площадки скважин №№ 5-8;</w:t>
      </w:r>
    </w:p>
    <w:p w14:paraId="293DC64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эстакада.</w:t>
      </w:r>
    </w:p>
    <w:p w14:paraId="41EB4F6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6 этап:</w:t>
      </w:r>
    </w:p>
    <w:p w14:paraId="7B53020E"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Обустройство 3 группы скважин Куста №17.</w:t>
      </w:r>
    </w:p>
    <w:p w14:paraId="3A82BDC9"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К объектам обустройства скважин №№ 9-12 относятся следующие проектируемые сооружения:</w:t>
      </w:r>
    </w:p>
    <w:p w14:paraId="44B794AC"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приустьевая площадка добывающей скважины;</w:t>
      </w:r>
    </w:p>
    <w:p w14:paraId="51CF5D5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СУДР скважин №№ 9-13;</w:t>
      </w:r>
    </w:p>
    <w:p w14:paraId="1B3D41D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якоря оттяжек скважин №№ 9-12 – 16 шт.;</w:t>
      </w:r>
    </w:p>
    <w:p w14:paraId="1814213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лубрикаторные площадки скважин №№ 9-12;</w:t>
      </w:r>
    </w:p>
    <w:p w14:paraId="574AE65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эстакада.</w:t>
      </w:r>
    </w:p>
    <w:p w14:paraId="6F745E24"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7 этап:</w:t>
      </w:r>
    </w:p>
    <w:p w14:paraId="5E4C7B8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Обустройство 4 группы скважин Куста №17.</w:t>
      </w:r>
    </w:p>
    <w:p w14:paraId="372C761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К объектам обустройства скважин №№ 13, 14 относятся следующие проектируемые сооружения:</w:t>
      </w:r>
    </w:p>
    <w:p w14:paraId="3FBA133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приустьевая площадка добывающей скважины;</w:t>
      </w:r>
    </w:p>
    <w:p w14:paraId="6080D35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измерительная установка ИУ-2;</w:t>
      </w:r>
    </w:p>
    <w:p w14:paraId="4937A131"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СУДР скважин №№ 13, 14;</w:t>
      </w:r>
    </w:p>
    <w:p w14:paraId="762FBBA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якоря оттяжек скважин №№ 13, 14 – 8 шт.;</w:t>
      </w:r>
    </w:p>
    <w:p w14:paraId="203FC4C0"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лубрикаторные площадки скважин №№ 13, 14;</w:t>
      </w:r>
    </w:p>
    <w:p w14:paraId="496BB89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ёмкость подземная дренажная, V=8 м3;</w:t>
      </w:r>
    </w:p>
    <w:p w14:paraId="4496481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молниеотвод, h=15 м – 2 шт.;</w:t>
      </w:r>
    </w:p>
    <w:p w14:paraId="545840CB"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эстакада.</w:t>
      </w:r>
    </w:p>
    <w:p w14:paraId="58BA8C8D"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8 этап:</w:t>
      </w:r>
    </w:p>
    <w:p w14:paraId="07AEF124"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Обустройство 5 группы скважин Куста №17.</w:t>
      </w:r>
    </w:p>
    <w:p w14:paraId="5D65A57A"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К объектам обустройства скважин №№ 15-18 относятся следующие проектируемые сооружения:</w:t>
      </w:r>
    </w:p>
    <w:p w14:paraId="1F8A2A64"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приустьевая площадка добывающей скважины;</w:t>
      </w:r>
    </w:p>
    <w:p w14:paraId="1288F57A"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СУДР скважин №№ 15-18;</w:t>
      </w:r>
    </w:p>
    <w:p w14:paraId="2B3E172C"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якоря оттяжек скважин №№ 15-18 – 16 шт.;</w:t>
      </w:r>
    </w:p>
    <w:p w14:paraId="080BC243"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лубрикаторные площадки скважин №№ 15-18;</w:t>
      </w:r>
    </w:p>
    <w:p w14:paraId="46283E8F"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эстакада.</w:t>
      </w:r>
    </w:p>
    <w:p w14:paraId="10F4D2F6"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9 этап:</w:t>
      </w:r>
    </w:p>
    <w:p w14:paraId="1B4DE722"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 Оборудование системы ППД.</w:t>
      </w:r>
    </w:p>
    <w:p w14:paraId="16A8CCEF" w14:textId="77777777" w:rsidR="003E22D0" w:rsidRPr="004376E0" w:rsidRDefault="003E22D0" w:rsidP="003E22D0">
      <w:pPr>
        <w:pStyle w:val="ab"/>
        <w:tabs>
          <w:tab w:val="left" w:pos="9781"/>
          <w:tab w:val="left" w:pos="9923"/>
        </w:tabs>
        <w:spacing w:after="0" w:line="360" w:lineRule="auto"/>
        <w:ind w:firstLine="709"/>
        <w:rPr>
          <w:szCs w:val="24"/>
        </w:rPr>
      </w:pPr>
      <w:r w:rsidRPr="004376E0">
        <w:rPr>
          <w:szCs w:val="24"/>
        </w:rPr>
        <w:t>Девятый этап включает в себя организацию системы ППД с установкой блока гребёнок БГ-1 и эстакады.</w:t>
      </w:r>
    </w:p>
    <w:p w14:paraId="181D5DDB" w14:textId="77777777" w:rsidR="005764FE" w:rsidRPr="004376E0" w:rsidRDefault="005764FE" w:rsidP="005764FE">
      <w:pPr>
        <w:pStyle w:val="ab"/>
        <w:tabs>
          <w:tab w:val="left" w:pos="9781"/>
          <w:tab w:val="left" w:pos="9923"/>
        </w:tabs>
        <w:spacing w:after="0" w:line="360" w:lineRule="auto"/>
        <w:ind w:firstLine="709"/>
        <w:rPr>
          <w:szCs w:val="24"/>
        </w:rPr>
      </w:pPr>
      <w:r w:rsidRPr="004376E0">
        <w:rPr>
          <w:szCs w:val="24"/>
        </w:rPr>
        <w:t xml:space="preserve">В качестве запорной арматуры на трубопроводе приняты задвижки клиновые фланцевые в комплекте с ответными фланцами, климатического исполнения УХЛ1, класс герметичности А по ГОСТ 9544-2015. </w:t>
      </w:r>
    </w:p>
    <w:p w14:paraId="39A65BBF" w14:textId="77777777" w:rsidR="005764FE" w:rsidRPr="004376E0" w:rsidRDefault="005764FE" w:rsidP="005764FE">
      <w:pPr>
        <w:pStyle w:val="ab"/>
        <w:tabs>
          <w:tab w:val="left" w:pos="9781"/>
          <w:tab w:val="left" w:pos="9923"/>
        </w:tabs>
        <w:spacing w:after="0" w:line="360" w:lineRule="auto"/>
        <w:ind w:firstLine="709"/>
        <w:rPr>
          <w:szCs w:val="24"/>
        </w:rPr>
      </w:pPr>
      <w:r w:rsidRPr="004376E0">
        <w:rPr>
          <w:szCs w:val="24"/>
        </w:rPr>
        <w:t>В соответствии с п. 9.2.1 ГОСТ Р 55990-2014 на трубопроводах до и после задвижек установлены манометры для контроля давления в трубопроводе.</w:t>
      </w:r>
    </w:p>
    <w:p w14:paraId="3E1A8946" w14:textId="77777777" w:rsidR="005764FE" w:rsidRPr="004376E0" w:rsidRDefault="005764FE" w:rsidP="005764FE">
      <w:pPr>
        <w:pStyle w:val="ab"/>
        <w:tabs>
          <w:tab w:val="left" w:pos="9781"/>
          <w:tab w:val="left" w:pos="9923"/>
        </w:tabs>
        <w:spacing w:after="0" w:line="360" w:lineRule="auto"/>
        <w:ind w:firstLine="709"/>
        <w:rPr>
          <w:szCs w:val="24"/>
        </w:rPr>
      </w:pPr>
      <w:r w:rsidRPr="004376E0">
        <w:rPr>
          <w:szCs w:val="24"/>
        </w:rPr>
        <w:t>Проектом предусмотрена установка арматуры с ручным приводом.</w:t>
      </w:r>
    </w:p>
    <w:p w14:paraId="1B1128EF" w14:textId="77777777" w:rsidR="005764FE" w:rsidRPr="004376E0" w:rsidRDefault="005764FE" w:rsidP="005764FE">
      <w:pPr>
        <w:pStyle w:val="ab"/>
        <w:tabs>
          <w:tab w:val="left" w:pos="9781"/>
          <w:tab w:val="left" w:pos="9923"/>
        </w:tabs>
        <w:spacing w:after="0" w:line="360" w:lineRule="auto"/>
        <w:ind w:firstLine="709"/>
        <w:rPr>
          <w:szCs w:val="24"/>
        </w:rPr>
      </w:pPr>
      <w:r w:rsidRPr="004376E0">
        <w:rPr>
          <w:szCs w:val="24"/>
        </w:rPr>
        <w:t xml:space="preserve">Средний срок службы арматуры указан в паспорте завода-изготовителя. </w:t>
      </w:r>
    </w:p>
    <w:p w14:paraId="7C5C1EE1" w14:textId="77777777" w:rsidR="005764FE" w:rsidRPr="004376E0" w:rsidRDefault="005764FE" w:rsidP="005764FE">
      <w:pPr>
        <w:pStyle w:val="ab"/>
        <w:tabs>
          <w:tab w:val="left" w:pos="9781"/>
          <w:tab w:val="left" w:pos="9923"/>
        </w:tabs>
        <w:spacing w:after="0" w:line="360" w:lineRule="auto"/>
        <w:ind w:firstLine="709"/>
        <w:rPr>
          <w:szCs w:val="24"/>
        </w:rPr>
      </w:pPr>
      <w:r w:rsidRPr="004376E0">
        <w:rPr>
          <w:szCs w:val="24"/>
        </w:rPr>
        <w:t>Вся применяемая арматура имеет сертификаты соответствия техническим регламентам Таможенного союза «О безопасности машин и оборудования», «О безопасности оборудования, работающего под избыточным давлением», «О безопасности оборудования для работы во взрывоопасных средах».</w:t>
      </w:r>
    </w:p>
    <w:p w14:paraId="75199792"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Согласно ГОСТ Р 55990-2014 (п. 7.1.3) проектируемый трубопровод в зависимости от диаметра принят III класса.</w:t>
      </w:r>
    </w:p>
    <w:p w14:paraId="71D8A35D"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Согласно ГОСТ Р 55990-2014 (п 7.1) в зависимости от назначения категория проектируемого трубопровода принята «Н».</w:t>
      </w:r>
    </w:p>
    <w:p w14:paraId="1F001335"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Согласно классификации транспортируемых продуктов (нефтегазоводяной смеси) для проектируемого трубопровода по ГОСТ Р55990-2014 (таблица 1) принята 7 категория транспортируемого продукта.</w:t>
      </w:r>
    </w:p>
    <w:p w14:paraId="60EDABCC"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Категории участков проектируемого трубопровода согласно ГОСТ Р 55990-2014 (табл. 4), ПУЭ (2.5.290), исходя из условий прохождения трассы:</w:t>
      </w:r>
    </w:p>
    <w:p w14:paraId="18E49F42"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узлы линейной запорной арматуры, а также участки трубопроводов по 250 м, примыкающие к ним – категория С;</w:t>
      </w:r>
    </w:p>
    <w:p w14:paraId="15BE5AE8"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пересечения с воздушными линиями электропередачи на расстоянии 1000 м в обе стороны от пересечения - категория С.</w:t>
      </w:r>
    </w:p>
    <w:p w14:paraId="42B22509" w14:textId="77777777"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автомобильные дороги IV-в категории, включая участки по обе стороны дороги длиной 25 м каждый от подошвы насыпи - категория C.</w:t>
      </w:r>
    </w:p>
    <w:p w14:paraId="4A05149F" w14:textId="6DCC2419" w:rsidR="005764FE" w:rsidRPr="004376E0" w:rsidRDefault="005764FE" w:rsidP="003E22D0">
      <w:pPr>
        <w:pStyle w:val="ab"/>
        <w:tabs>
          <w:tab w:val="left" w:pos="9781"/>
          <w:tab w:val="left" w:pos="9923"/>
        </w:tabs>
        <w:spacing w:after="0" w:line="360" w:lineRule="auto"/>
        <w:ind w:firstLine="709"/>
        <w:jc w:val="both"/>
        <w:rPr>
          <w:szCs w:val="24"/>
        </w:rPr>
      </w:pPr>
      <w:r w:rsidRPr="004376E0">
        <w:rPr>
          <w:szCs w:val="24"/>
        </w:rPr>
        <w:t>В соответствии с п. 7.1.7 ГОСТ Р 55990-2014 нефтегазосборный трубопровод принят категории С на всей протяженности трассы.</w:t>
      </w:r>
    </w:p>
    <w:p w14:paraId="32E7FA57"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Проектируемая система сбора и транспорта нефти предусматривает обустройство кустовой площадки №17 Средне-Назымского лицензионного участка, состоящей из 16-ти добывающих и 2-х водозаборных скважин №№ 3, 7.</w:t>
      </w:r>
    </w:p>
    <w:p w14:paraId="087B9C7F"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Строительство предусматривается в несколько этапов.</w:t>
      </w:r>
    </w:p>
    <w:p w14:paraId="092F7328"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2 этап строительства:</w:t>
      </w:r>
    </w:p>
    <w:p w14:paraId="7C616FCA"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строительство проектируемых комплектных трансформаторных подстанций КТП №1, КТП №2 наружной установки типа «киоск» КТП-Т(ВК)-630/10/0,4-07-УХЛ1, строительство ЛЭП до КТП №1, КТП №2 (фидер 1), строительство ЛЭП до КТП №1, КТП №2 (фидер 2);</w:t>
      </w:r>
    </w:p>
    <w:p w14:paraId="410A834E"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4 этап строительства:</w:t>
      </w:r>
    </w:p>
    <w:p w14:paraId="4B5C28F8"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1 группы скважин №№1, 2, 3(вдзб.), 4 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299C7F92"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5 этап строительства:</w:t>
      </w:r>
    </w:p>
    <w:p w14:paraId="73D6D6D5"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2 группы скважин №№5, 6, 7(вдзб.), 8 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13FC9E92"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6 этап строительства:</w:t>
      </w:r>
    </w:p>
    <w:p w14:paraId="5D5BFDCF"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3 группы скважин №№9, 10, 11, 12 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2D24E5F0"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7 этап строительства:</w:t>
      </w:r>
    </w:p>
    <w:p w14:paraId="7B95E5B3"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4 группы скважин №№13, 14, 15, 16 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409A091A"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8 этап строительства:</w:t>
      </w:r>
    </w:p>
    <w:p w14:paraId="705BF4B2"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5 группы скважин №№17, 18предусматривается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12C75118"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9 этап строительства:</w:t>
      </w:r>
    </w:p>
    <w:p w14:paraId="4B91C965" w14:textId="4CDF9BF5"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электроснабжение основного и сопутствующего оборудования системы ППД предусматривается от смонтированных в 1 этапе комплектных трансформаторных подстанций КТП №1, КТП №2 наружной установки типа «киоск» КТП-Т(ВК)-630/10/0,4-07-УХЛ1.</w:t>
      </w:r>
    </w:p>
    <w:p w14:paraId="025FD04A"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Мощность КТП принята с учетом рекомендаций завода-изготовителя станции управления «Электон-05», в зависимости от номинальной мощности подключаемых электроприемников, номинального тока первичной цепи и выходной частоты.</w:t>
      </w:r>
    </w:p>
    <w:p w14:paraId="30C648AD"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Проектируемые КТП №1 и КТП №2 куста скважин №17 запитываются от существующих опор ВЛ-10 кВ фидера 1 (основной источник) и фидера 2 (резервный источник) от ГПЭС-4 МВт в районе куста К-1 ТПП «РИТЭКБелоярскнефть».</w:t>
      </w:r>
    </w:p>
    <w:p w14:paraId="41DEEB9E"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Подключение проектируемых КТП №1, КТП №2 к основным и резервным источникам электроснабжения осуществляется через проектируемые автоматические пункты секционирования ВЛ-10 кВ (реклоузеры 1, 2, 3) для обеспечения возможности автоматического выбора питания с любого из фидеров (АВР).</w:t>
      </w:r>
    </w:p>
    <w:p w14:paraId="2001E3EB"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 xml:space="preserve">В соответствии с ВНТП 3-85 и ПУЭ (седьмое издание) электроснабжение потребителей, проектируемых объектов, должно иметь следующие категории надежности: </w:t>
      </w:r>
    </w:p>
    <w:p w14:paraId="039167D8"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 I категория – оборудование системы пожарной сигнализации, шкаф телемеханики, оборудование связи, блок автоматики совместно с ИЗУ, насосы ЭЦН;</w:t>
      </w:r>
    </w:p>
    <w:p w14:paraId="7C498928"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 III категория –шкаф ПРС, мачты освещения, устройства УОК-НКТ, установки дозирования реагента, электрообогрев трубопроводов.</w:t>
      </w:r>
    </w:p>
    <w:p w14:paraId="2C1FAC82"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В рамках объекта проектирования реализуется контроль качества электроэнергии по ГОСТ 32144.</w:t>
      </w:r>
    </w:p>
    <w:p w14:paraId="5629BD22"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Начало подъездной автодороги соответствует примыканию к существующей автодороге</w:t>
      </w:r>
    </w:p>
    <w:p w14:paraId="1A49AD40"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IV-в категории к скв. 231Р на ПК 94+58,4 справа.</w:t>
      </w:r>
    </w:p>
    <w:p w14:paraId="1788394F"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Радиус кривых при сопряжении дорог в месте примыкания к ранее запроектированной и строящейся дорогам принят 15 м.</w:t>
      </w:r>
    </w:p>
    <w:p w14:paraId="600B42FF"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Конец трассы ПК 3+59,45 соответствует въезду на кустовую площадку №17.</w:t>
      </w:r>
    </w:p>
    <w:p w14:paraId="2B160C6D" w14:textId="77777777" w:rsidR="003E22D0" w:rsidRPr="004376E0" w:rsidRDefault="003E22D0" w:rsidP="003E22D0">
      <w:pPr>
        <w:pStyle w:val="ab"/>
        <w:tabs>
          <w:tab w:val="left" w:pos="9781"/>
          <w:tab w:val="left" w:pos="9923"/>
        </w:tabs>
        <w:spacing w:after="0" w:line="360" w:lineRule="auto"/>
        <w:ind w:firstLine="709"/>
        <w:jc w:val="both"/>
        <w:rPr>
          <w:szCs w:val="24"/>
        </w:rPr>
      </w:pPr>
      <w:r w:rsidRPr="004376E0">
        <w:rPr>
          <w:szCs w:val="24"/>
        </w:rPr>
        <w:t>В проекте предусмотрено устройство 2 водопропускных металлических гофрированных труб отв. 1,50 м.</w:t>
      </w:r>
    </w:p>
    <w:p w14:paraId="2774927D" w14:textId="77777777" w:rsidR="00CD33E9" w:rsidRPr="004376E0" w:rsidRDefault="00CD33E9" w:rsidP="003D4D05">
      <w:pPr>
        <w:pStyle w:val="ab"/>
        <w:tabs>
          <w:tab w:val="left" w:pos="9781"/>
          <w:tab w:val="left" w:pos="9923"/>
        </w:tabs>
        <w:spacing w:before="240" w:line="360" w:lineRule="auto"/>
        <w:jc w:val="both"/>
        <w:rPr>
          <w:szCs w:val="24"/>
        </w:rPr>
      </w:pPr>
      <w:r w:rsidRPr="004376E0">
        <w:rPr>
          <w:szCs w:val="24"/>
        </w:rPr>
        <w:t>2.2 Перечень субъектов Российской Федерации и муниципальных районов, на территории которых устанавливается зона планируемого размещения линейного объекта</w:t>
      </w:r>
    </w:p>
    <w:p w14:paraId="553C6432" w14:textId="77777777" w:rsidR="00387FE7" w:rsidRPr="004376E0" w:rsidRDefault="00387FE7" w:rsidP="00387FE7">
      <w:pPr>
        <w:pStyle w:val="ab"/>
        <w:tabs>
          <w:tab w:val="left" w:pos="9781"/>
          <w:tab w:val="left" w:pos="9923"/>
        </w:tabs>
        <w:spacing w:line="360" w:lineRule="auto"/>
        <w:ind w:firstLine="709"/>
        <w:jc w:val="both"/>
        <w:rPr>
          <w:szCs w:val="24"/>
        </w:rPr>
      </w:pPr>
      <w:r w:rsidRPr="004376E0">
        <w:rPr>
          <w:szCs w:val="24"/>
        </w:rPr>
        <w:t>Проектируемый объект располагается на территории Ханты-Мансийского автономного округа - Югра, Ханты-Мансийского района, Самаровского лесничества, Кедровского участкового лесничества, Урманного урочища.</w:t>
      </w:r>
    </w:p>
    <w:p w14:paraId="1E180AC3" w14:textId="77777777" w:rsidR="00CD33E9" w:rsidRPr="004376E0" w:rsidRDefault="00CD33E9" w:rsidP="003D4D05">
      <w:pPr>
        <w:pStyle w:val="ab"/>
        <w:tabs>
          <w:tab w:val="left" w:pos="9781"/>
          <w:tab w:val="left" w:pos="9923"/>
        </w:tabs>
        <w:spacing w:before="240" w:line="360" w:lineRule="auto"/>
        <w:jc w:val="both"/>
        <w:rPr>
          <w:szCs w:val="24"/>
        </w:rPr>
      </w:pPr>
      <w:r w:rsidRPr="004376E0">
        <w:rPr>
          <w:szCs w:val="24"/>
        </w:rPr>
        <w:t>2.3 Перечень координат характерных точек границ зон планируемого размещения линейного объекта</w:t>
      </w:r>
    </w:p>
    <w:p w14:paraId="1680C97C" w14:textId="77777777" w:rsidR="005764FE" w:rsidRPr="004376E0" w:rsidRDefault="00EC4311" w:rsidP="005764FE">
      <w:pPr>
        <w:pStyle w:val="ab"/>
        <w:tabs>
          <w:tab w:val="left" w:pos="9781"/>
          <w:tab w:val="left" w:pos="9923"/>
        </w:tabs>
        <w:spacing w:line="360" w:lineRule="auto"/>
        <w:ind w:firstLine="709"/>
        <w:jc w:val="both"/>
        <w:rPr>
          <w:szCs w:val="24"/>
        </w:rPr>
      </w:pPr>
      <w:r w:rsidRPr="004376E0">
        <w:rPr>
          <w:szCs w:val="24"/>
        </w:rPr>
        <w:t>Перечень</w:t>
      </w:r>
      <w:r w:rsidR="00CD33E9" w:rsidRPr="004376E0">
        <w:rPr>
          <w:szCs w:val="24"/>
        </w:rPr>
        <w:t xml:space="preserve"> координат характерных точек устанавливаемых красных линий и поворотных точек </w:t>
      </w:r>
      <w:r w:rsidR="003D4D05" w:rsidRPr="004376E0">
        <w:rPr>
          <w:szCs w:val="24"/>
        </w:rPr>
        <w:t>зоны планируемого размещения линейного объекта «</w:t>
      </w:r>
      <w:r w:rsidRPr="004376E0">
        <w:rPr>
          <w:szCs w:val="24"/>
        </w:rPr>
        <w:t>Обустройство кустовой площадки №17 Средне-Назымского лицензионного участка</w:t>
      </w:r>
      <w:r w:rsidR="003D4D05" w:rsidRPr="004376E0">
        <w:rPr>
          <w:szCs w:val="24"/>
        </w:rPr>
        <w:t xml:space="preserve">», расположенного </w:t>
      </w:r>
      <w:r w:rsidR="005764FE" w:rsidRPr="004376E0">
        <w:rPr>
          <w:szCs w:val="24"/>
        </w:rPr>
        <w:t xml:space="preserve">на территории Ханты-Мансийского автономного округа - Югра, Ханты-Мансийского района, Самаровского лесничества, Кедровского участкового лесничества, Урманного урочища </w:t>
      </w:r>
      <w:r w:rsidR="003D4D05" w:rsidRPr="004376E0">
        <w:rPr>
          <w:szCs w:val="24"/>
        </w:rPr>
        <w:t>представлен в приложении №1 к настоящей документации.</w:t>
      </w:r>
      <w:r w:rsidR="005764FE" w:rsidRPr="004376E0">
        <w:rPr>
          <w:szCs w:val="24"/>
        </w:rPr>
        <w:t xml:space="preserve"> </w:t>
      </w:r>
    </w:p>
    <w:p w14:paraId="08BD29AE" w14:textId="2081A4B5" w:rsidR="003D4D05" w:rsidRPr="004376E0" w:rsidRDefault="003D4D05" w:rsidP="005764FE">
      <w:pPr>
        <w:pStyle w:val="ab"/>
        <w:tabs>
          <w:tab w:val="left" w:pos="9781"/>
          <w:tab w:val="left" w:pos="9923"/>
        </w:tabs>
        <w:spacing w:line="360" w:lineRule="auto"/>
        <w:ind w:firstLine="709"/>
        <w:jc w:val="both"/>
        <w:rPr>
          <w:b/>
        </w:rPr>
      </w:pPr>
      <w:r w:rsidRPr="004376E0">
        <w:t xml:space="preserve">2.4 Перечень координат характерных точек границ зон планируемого размещения линейных объектов, подлежащих </w:t>
      </w:r>
      <w:r w:rsidR="00A045F1" w:rsidRPr="004376E0">
        <w:t>реконструкции в связи с изменением их местоположения</w:t>
      </w:r>
    </w:p>
    <w:p w14:paraId="5BF4A444" w14:textId="1DC88CAD" w:rsidR="003E64C5" w:rsidRPr="004376E0" w:rsidRDefault="003E64C5" w:rsidP="00A045F1">
      <w:pPr>
        <w:pStyle w:val="ab"/>
        <w:tabs>
          <w:tab w:val="left" w:pos="9781"/>
          <w:tab w:val="left" w:pos="9923"/>
        </w:tabs>
        <w:spacing w:line="360" w:lineRule="auto"/>
        <w:ind w:firstLine="709"/>
        <w:jc w:val="both"/>
        <w:rPr>
          <w:b/>
        </w:rPr>
      </w:pPr>
      <w:r w:rsidRPr="004376E0">
        <w:rPr>
          <w:szCs w:val="24"/>
        </w:rPr>
        <w:t xml:space="preserve">Проектом планировки территории не предусматривается </w:t>
      </w:r>
      <w:r w:rsidR="00A045F1" w:rsidRPr="004376E0">
        <w:t>реконструкция в связи с изменением их местоположения.</w:t>
      </w:r>
    </w:p>
    <w:p w14:paraId="534EBD69" w14:textId="77777777" w:rsidR="003E64C5" w:rsidRPr="004376E0" w:rsidRDefault="003E64C5" w:rsidP="003E64C5">
      <w:pPr>
        <w:pStyle w:val="ab"/>
        <w:tabs>
          <w:tab w:val="left" w:pos="9781"/>
          <w:tab w:val="left" w:pos="9923"/>
        </w:tabs>
        <w:spacing w:line="360" w:lineRule="auto"/>
        <w:jc w:val="both"/>
      </w:pPr>
      <w:r w:rsidRPr="004376E0">
        <w:rPr>
          <w:szCs w:val="24"/>
        </w:rPr>
        <w:t xml:space="preserve">2.5 </w:t>
      </w:r>
      <w:r w:rsidRPr="004376E0">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0722F1D0"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Общая площадь испрашиваемого земельного участка составляет 13,0298 га. Вся площадь отведена в долгосрочную аренду, отведение земель в краткосрочную аренду не требуется.</w:t>
      </w:r>
    </w:p>
    <w:p w14:paraId="62A35C27"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Проектируемые объекты расположены на территории Ханты-Мансийского автономного округа - Югра, Ханты-Мансийского района, Самаровского лесничества, Кедровского участкового лесничества, Урманного урочища. Проектируемые объекты расположены в границах ранее отведенных земель, находящихся в аренде АО «РИТЭК».</w:t>
      </w:r>
    </w:p>
    <w:p w14:paraId="19798BDD" w14:textId="66F92EAC" w:rsidR="00E37F59" w:rsidRPr="004376E0" w:rsidRDefault="00E37F59" w:rsidP="00E37F59">
      <w:pPr>
        <w:pStyle w:val="ab"/>
        <w:tabs>
          <w:tab w:val="left" w:pos="9781"/>
          <w:tab w:val="left" w:pos="9923"/>
        </w:tabs>
        <w:spacing w:after="0" w:line="360" w:lineRule="auto"/>
        <w:ind w:firstLine="709"/>
        <w:jc w:val="both"/>
        <w:rPr>
          <w:szCs w:val="24"/>
        </w:rPr>
      </w:pPr>
      <w:r w:rsidRPr="004376E0">
        <w:rPr>
          <w:szCs w:val="24"/>
        </w:rPr>
        <w:t>Информация о параметрах зон застройки приведена в таблице 1, экспликация земельных участков представлена в таблице 2.</w:t>
      </w:r>
    </w:p>
    <w:p w14:paraId="66F75913" w14:textId="5B170ACD" w:rsidR="00E37F59" w:rsidRPr="004376E0" w:rsidRDefault="00E37F59" w:rsidP="00E37F59">
      <w:pPr>
        <w:pStyle w:val="ab"/>
        <w:tabs>
          <w:tab w:val="left" w:pos="9781"/>
          <w:tab w:val="left" w:pos="9923"/>
        </w:tabs>
        <w:spacing w:after="0" w:line="360" w:lineRule="auto"/>
        <w:ind w:firstLine="709"/>
        <w:jc w:val="both"/>
        <w:rPr>
          <w:szCs w:val="24"/>
        </w:rPr>
      </w:pPr>
      <w:r w:rsidRPr="004376E0">
        <w:rPr>
          <w:szCs w:val="24"/>
        </w:rPr>
        <w:t>Таблица 1 – Информация о параметрах зон застройки</w:t>
      </w:r>
    </w:p>
    <w:tbl>
      <w:tblPr>
        <w:tblStyle w:val="af2"/>
        <w:tblW w:w="0" w:type="auto"/>
        <w:jc w:val="center"/>
        <w:tblLook w:val="04A0" w:firstRow="1" w:lastRow="0" w:firstColumn="1" w:lastColumn="0" w:noHBand="0" w:noVBand="1"/>
      </w:tblPr>
      <w:tblGrid>
        <w:gridCol w:w="2407"/>
        <w:gridCol w:w="2420"/>
        <w:gridCol w:w="2398"/>
        <w:gridCol w:w="2346"/>
      </w:tblGrid>
      <w:tr w:rsidR="00E37F59" w:rsidRPr="004376E0" w14:paraId="1B81F026" w14:textId="77777777" w:rsidTr="004376E0">
        <w:trPr>
          <w:trHeight w:val="20"/>
          <w:jc w:val="center"/>
        </w:trPr>
        <w:tc>
          <w:tcPr>
            <w:tcW w:w="2570" w:type="dxa"/>
            <w:vAlign w:val="center"/>
          </w:tcPr>
          <w:p w14:paraId="3A212C28"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Наименование объекта</w:t>
            </w:r>
          </w:p>
        </w:tc>
        <w:tc>
          <w:tcPr>
            <w:tcW w:w="2570" w:type="dxa"/>
            <w:vAlign w:val="center"/>
          </w:tcPr>
          <w:p w14:paraId="25A7D6D8"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Площадь вновь испрашиваемых земельных участков, га</w:t>
            </w:r>
          </w:p>
        </w:tc>
        <w:tc>
          <w:tcPr>
            <w:tcW w:w="2570" w:type="dxa"/>
            <w:vAlign w:val="center"/>
          </w:tcPr>
          <w:p w14:paraId="32E9EDEB"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Площадь по земельным участкам, арендованным ранее, га</w:t>
            </w:r>
          </w:p>
        </w:tc>
        <w:tc>
          <w:tcPr>
            <w:tcW w:w="2570" w:type="dxa"/>
            <w:vAlign w:val="center"/>
          </w:tcPr>
          <w:p w14:paraId="535914DB"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Зона застройки, га</w:t>
            </w:r>
          </w:p>
        </w:tc>
      </w:tr>
      <w:tr w:rsidR="00E37F59" w:rsidRPr="004376E0" w14:paraId="1CCBBA9F" w14:textId="77777777" w:rsidTr="004376E0">
        <w:trPr>
          <w:trHeight w:val="20"/>
          <w:jc w:val="center"/>
        </w:trPr>
        <w:tc>
          <w:tcPr>
            <w:tcW w:w="10280" w:type="dxa"/>
            <w:gridSpan w:val="4"/>
          </w:tcPr>
          <w:p w14:paraId="62E6AC6E"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 xml:space="preserve">Ханты-Мансийский район, Самаровское лесничество, </w:t>
            </w:r>
          </w:p>
          <w:p w14:paraId="4671F4DE"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Кедровское участковое лесничество, Урманное урочище</w:t>
            </w:r>
          </w:p>
        </w:tc>
      </w:tr>
      <w:tr w:rsidR="00E37F59" w:rsidRPr="004376E0" w14:paraId="64D75D8D" w14:textId="77777777" w:rsidTr="004376E0">
        <w:trPr>
          <w:trHeight w:val="20"/>
          <w:jc w:val="center"/>
        </w:trPr>
        <w:tc>
          <w:tcPr>
            <w:tcW w:w="2570" w:type="dxa"/>
            <w:vAlign w:val="center"/>
          </w:tcPr>
          <w:p w14:paraId="4EC334A9"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w:t>
            </w:r>
            <w:r w:rsidRPr="004376E0">
              <w:rPr>
                <w:rFonts w:ascii="Times New Roman" w:hAnsi="Times New Roman" w:cs="Times New Roman"/>
                <w:sz w:val="20"/>
                <w:szCs w:val="20"/>
              </w:rPr>
              <w:fldChar w:fldCharType="begin"/>
            </w:r>
            <w:r w:rsidRPr="004376E0">
              <w:rPr>
                <w:rFonts w:ascii="Times New Roman" w:hAnsi="Times New Roman" w:cs="Times New Roman"/>
                <w:sz w:val="20"/>
                <w:szCs w:val="20"/>
              </w:rPr>
              <w:instrText xml:space="preserve"> DOCPROPERTY  Название  \* MERGEFORMAT </w:instrText>
            </w:r>
            <w:r w:rsidRPr="004376E0">
              <w:rPr>
                <w:rFonts w:ascii="Times New Roman" w:hAnsi="Times New Roman" w:cs="Times New Roman"/>
                <w:sz w:val="20"/>
                <w:szCs w:val="20"/>
              </w:rPr>
              <w:fldChar w:fldCharType="separate"/>
            </w:r>
            <w:r w:rsidRPr="004376E0">
              <w:rPr>
                <w:rFonts w:ascii="Times New Roman" w:hAnsi="Times New Roman" w:cs="Times New Roman"/>
                <w:sz w:val="20"/>
                <w:szCs w:val="20"/>
              </w:rPr>
              <w:t>Обустройство кустовой площадки №17 Средне-Назымского лицензионного участка</w:t>
            </w:r>
            <w:r w:rsidRPr="004376E0">
              <w:rPr>
                <w:rFonts w:ascii="Times New Roman" w:hAnsi="Times New Roman" w:cs="Times New Roman"/>
                <w:sz w:val="20"/>
                <w:szCs w:val="20"/>
              </w:rPr>
              <w:fldChar w:fldCharType="end"/>
            </w:r>
            <w:r w:rsidRPr="004376E0">
              <w:rPr>
                <w:rFonts w:ascii="Times New Roman" w:hAnsi="Times New Roman" w:cs="Times New Roman"/>
                <w:sz w:val="20"/>
                <w:szCs w:val="20"/>
              </w:rPr>
              <w:t>»</w:t>
            </w:r>
          </w:p>
        </w:tc>
        <w:tc>
          <w:tcPr>
            <w:tcW w:w="2570" w:type="dxa"/>
            <w:vAlign w:val="center"/>
          </w:tcPr>
          <w:p w14:paraId="31C81B80"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w:t>
            </w:r>
          </w:p>
        </w:tc>
        <w:tc>
          <w:tcPr>
            <w:tcW w:w="2570" w:type="dxa"/>
            <w:vAlign w:val="center"/>
          </w:tcPr>
          <w:p w14:paraId="64D3CAC0"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13,0298</w:t>
            </w:r>
          </w:p>
        </w:tc>
        <w:tc>
          <w:tcPr>
            <w:tcW w:w="2570" w:type="dxa"/>
            <w:vAlign w:val="center"/>
          </w:tcPr>
          <w:p w14:paraId="2C160C01"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13,0298</w:t>
            </w:r>
          </w:p>
        </w:tc>
      </w:tr>
      <w:tr w:rsidR="00E37F59" w:rsidRPr="004376E0" w14:paraId="56FB3576" w14:textId="77777777" w:rsidTr="004376E0">
        <w:trPr>
          <w:trHeight w:val="20"/>
          <w:jc w:val="center"/>
        </w:trPr>
        <w:tc>
          <w:tcPr>
            <w:tcW w:w="2570" w:type="dxa"/>
            <w:vAlign w:val="center"/>
          </w:tcPr>
          <w:p w14:paraId="352CC63C"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Итого</w:t>
            </w:r>
          </w:p>
        </w:tc>
        <w:tc>
          <w:tcPr>
            <w:tcW w:w="2570" w:type="dxa"/>
            <w:vAlign w:val="center"/>
          </w:tcPr>
          <w:p w14:paraId="11BDC7BD"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w:t>
            </w:r>
          </w:p>
        </w:tc>
        <w:tc>
          <w:tcPr>
            <w:tcW w:w="2570" w:type="dxa"/>
            <w:vAlign w:val="center"/>
          </w:tcPr>
          <w:p w14:paraId="38A44C44"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13,0298</w:t>
            </w:r>
          </w:p>
        </w:tc>
        <w:tc>
          <w:tcPr>
            <w:tcW w:w="2570" w:type="dxa"/>
            <w:vAlign w:val="center"/>
          </w:tcPr>
          <w:p w14:paraId="120EA5CC" w14:textId="77777777" w:rsidR="00E37F59" w:rsidRPr="004376E0" w:rsidRDefault="00E37F59" w:rsidP="004376E0">
            <w:pPr>
              <w:pStyle w:val="Default"/>
              <w:jc w:val="center"/>
              <w:rPr>
                <w:rFonts w:ascii="Times New Roman" w:hAnsi="Times New Roman" w:cs="Times New Roman"/>
                <w:sz w:val="20"/>
                <w:szCs w:val="20"/>
              </w:rPr>
            </w:pPr>
            <w:r w:rsidRPr="004376E0">
              <w:rPr>
                <w:rFonts w:ascii="Times New Roman" w:hAnsi="Times New Roman" w:cs="Times New Roman"/>
                <w:sz w:val="20"/>
                <w:szCs w:val="20"/>
              </w:rPr>
              <w:t>13,0298</w:t>
            </w:r>
          </w:p>
        </w:tc>
      </w:tr>
    </w:tbl>
    <w:p w14:paraId="7E3ECC1A" w14:textId="77777777" w:rsidR="00E37F59" w:rsidRPr="004376E0" w:rsidRDefault="00E37F59" w:rsidP="00E37F59">
      <w:pPr>
        <w:pStyle w:val="Default"/>
        <w:spacing w:line="360" w:lineRule="auto"/>
        <w:ind w:left="142" w:firstLine="709"/>
        <w:jc w:val="both"/>
      </w:pPr>
    </w:p>
    <w:p w14:paraId="4A28F249" w14:textId="1988C47E" w:rsidR="00E37F59" w:rsidRPr="004376E0" w:rsidRDefault="00E37F59" w:rsidP="00E37F59">
      <w:pPr>
        <w:pStyle w:val="ab"/>
        <w:tabs>
          <w:tab w:val="left" w:pos="9781"/>
          <w:tab w:val="left" w:pos="9923"/>
        </w:tabs>
        <w:spacing w:after="0" w:line="360" w:lineRule="auto"/>
        <w:ind w:firstLine="709"/>
        <w:jc w:val="both"/>
        <w:rPr>
          <w:szCs w:val="24"/>
        </w:rPr>
      </w:pPr>
      <w:r w:rsidRPr="004376E0">
        <w:rPr>
          <w:szCs w:val="24"/>
        </w:rPr>
        <w:t>Таблица 2 - Экспликация земельных участков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584"/>
        <w:gridCol w:w="2908"/>
        <w:gridCol w:w="2115"/>
        <w:gridCol w:w="1418"/>
      </w:tblGrid>
      <w:tr w:rsidR="00E37F59" w:rsidRPr="004376E0" w14:paraId="79A85F31" w14:textId="77777777" w:rsidTr="004376E0">
        <w:trPr>
          <w:trHeight w:val="20"/>
          <w:tblHeader/>
          <w:jc w:val="center"/>
        </w:trPr>
        <w:tc>
          <w:tcPr>
            <w:tcW w:w="285" w:type="pct"/>
            <w:vAlign w:val="center"/>
            <w:hideMark/>
          </w:tcPr>
          <w:p w14:paraId="474A988D"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w:t>
            </w:r>
          </w:p>
          <w:p w14:paraId="1FE3C9A4" w14:textId="7CEA65A6" w:rsidR="00E37F59" w:rsidRPr="004376E0" w:rsidRDefault="00E37F59" w:rsidP="00E37F59">
            <w:pPr>
              <w:spacing w:after="0" w:line="240" w:lineRule="auto"/>
              <w:jc w:val="center"/>
              <w:rPr>
                <w:rFonts w:ascii="Times New Roman" w:hAnsi="Times New Roman" w:cs="Times New Roman"/>
                <w:b/>
                <w:sz w:val="20"/>
                <w:szCs w:val="20"/>
              </w:rPr>
            </w:pPr>
          </w:p>
        </w:tc>
        <w:tc>
          <w:tcPr>
            <w:tcW w:w="1350" w:type="pct"/>
            <w:vAlign w:val="center"/>
          </w:tcPr>
          <w:p w14:paraId="00BB5A5F"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Кадастровый номер земельного участка</w:t>
            </w:r>
          </w:p>
        </w:tc>
        <w:tc>
          <w:tcPr>
            <w:tcW w:w="1519" w:type="pct"/>
            <w:vAlign w:val="center"/>
            <w:hideMark/>
          </w:tcPr>
          <w:p w14:paraId="2E868E0F"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Наименование землепользователей</w:t>
            </w:r>
          </w:p>
        </w:tc>
        <w:tc>
          <w:tcPr>
            <w:tcW w:w="1105" w:type="pct"/>
            <w:vAlign w:val="center"/>
            <w:hideMark/>
          </w:tcPr>
          <w:p w14:paraId="7B049AFB"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Наименование объекта строительства</w:t>
            </w:r>
          </w:p>
        </w:tc>
        <w:tc>
          <w:tcPr>
            <w:tcW w:w="741" w:type="pct"/>
            <w:vAlign w:val="center"/>
          </w:tcPr>
          <w:p w14:paraId="7ABA8A1A"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Площадь отвода,</w:t>
            </w:r>
          </w:p>
          <w:p w14:paraId="6150F3DD" w14:textId="77777777" w:rsidR="00E37F59" w:rsidRPr="004376E0" w:rsidRDefault="00E37F59" w:rsidP="00E37F59">
            <w:pPr>
              <w:spacing w:after="0" w:line="240" w:lineRule="auto"/>
              <w:jc w:val="center"/>
              <w:rPr>
                <w:rFonts w:ascii="Times New Roman" w:hAnsi="Times New Roman" w:cs="Times New Roman"/>
                <w:b/>
                <w:sz w:val="20"/>
                <w:szCs w:val="20"/>
              </w:rPr>
            </w:pPr>
            <w:r w:rsidRPr="004376E0">
              <w:rPr>
                <w:rFonts w:ascii="Times New Roman" w:hAnsi="Times New Roman" w:cs="Times New Roman"/>
                <w:b/>
                <w:sz w:val="20"/>
                <w:szCs w:val="20"/>
              </w:rPr>
              <w:t>кв. м</w:t>
            </w:r>
          </w:p>
        </w:tc>
      </w:tr>
      <w:tr w:rsidR="00E37F59" w:rsidRPr="004376E0" w14:paraId="056D0D28" w14:textId="77777777" w:rsidTr="004376E0">
        <w:trPr>
          <w:trHeight w:val="20"/>
          <w:jc w:val="center"/>
        </w:trPr>
        <w:tc>
          <w:tcPr>
            <w:tcW w:w="285" w:type="pct"/>
            <w:vAlign w:val="center"/>
          </w:tcPr>
          <w:p w14:paraId="4B58C8F2"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1</w:t>
            </w:r>
          </w:p>
        </w:tc>
        <w:tc>
          <w:tcPr>
            <w:tcW w:w="1350" w:type="pct"/>
            <w:vAlign w:val="center"/>
          </w:tcPr>
          <w:p w14:paraId="2821C65B" w14:textId="77777777" w:rsidR="00E37F59" w:rsidRPr="004376E0" w:rsidRDefault="00E37F59" w:rsidP="00E37F59">
            <w:pPr>
              <w:spacing w:after="0" w:line="240" w:lineRule="auto"/>
              <w:ind w:right="-100"/>
              <w:jc w:val="center"/>
              <w:rPr>
                <w:rFonts w:ascii="Times New Roman" w:hAnsi="Times New Roman" w:cs="Times New Roman"/>
                <w:sz w:val="20"/>
                <w:szCs w:val="20"/>
              </w:rPr>
            </w:pPr>
            <w:r w:rsidRPr="004376E0">
              <w:rPr>
                <w:rFonts w:ascii="Times New Roman" w:hAnsi="Times New Roman" w:cs="Times New Roman"/>
                <w:color w:val="000000" w:themeColor="text1"/>
                <w:sz w:val="20"/>
                <w:szCs w:val="20"/>
              </w:rPr>
              <w:t>86:02:0203001:1940</w:t>
            </w:r>
          </w:p>
        </w:tc>
        <w:tc>
          <w:tcPr>
            <w:tcW w:w="1519" w:type="pct"/>
            <w:vAlign w:val="center"/>
          </w:tcPr>
          <w:p w14:paraId="32C34DC0"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аренда АО </w:t>
            </w:r>
          </w:p>
          <w:p w14:paraId="098A9D8A"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«РИТЭК»</w:t>
            </w:r>
          </w:p>
        </w:tc>
        <w:tc>
          <w:tcPr>
            <w:tcW w:w="1105" w:type="pct"/>
            <w:vMerge w:val="restart"/>
            <w:vAlign w:val="center"/>
          </w:tcPr>
          <w:p w14:paraId="25CA61FE"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p>
          <w:p w14:paraId="601E2337"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Автодорога от куста №17;</w:t>
            </w:r>
          </w:p>
          <w:p w14:paraId="7F39DBEE"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ВЛ-10 кВ (1 фидер) от т. отпайки от куста №17;</w:t>
            </w:r>
          </w:p>
          <w:p w14:paraId="69B72954"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Нефтесборный трубопровод от куста №17 до точки врезки;</w:t>
            </w:r>
          </w:p>
          <w:p w14:paraId="32B95CB3"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ВЛ-10 кВ (2 фидер) от т. отпайки от куста №17;</w:t>
            </w:r>
          </w:p>
          <w:p w14:paraId="0C26090F"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Инженерная подготовка под обустройства скважин этапов 2-4</w:t>
            </w:r>
          </w:p>
          <w:p w14:paraId="2A36499C"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p>
        </w:tc>
        <w:tc>
          <w:tcPr>
            <w:tcW w:w="741" w:type="pct"/>
            <w:shd w:val="clear" w:color="auto" w:fill="auto"/>
            <w:vAlign w:val="center"/>
          </w:tcPr>
          <w:p w14:paraId="7FB2B23F"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53895</w:t>
            </w:r>
          </w:p>
        </w:tc>
      </w:tr>
      <w:tr w:rsidR="00E37F59" w:rsidRPr="004376E0" w14:paraId="3DC6C6AB" w14:textId="77777777" w:rsidTr="004376E0">
        <w:trPr>
          <w:trHeight w:val="20"/>
          <w:jc w:val="center"/>
        </w:trPr>
        <w:tc>
          <w:tcPr>
            <w:tcW w:w="285" w:type="pct"/>
            <w:vAlign w:val="center"/>
          </w:tcPr>
          <w:p w14:paraId="439E6B28"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2</w:t>
            </w:r>
          </w:p>
        </w:tc>
        <w:tc>
          <w:tcPr>
            <w:tcW w:w="1350" w:type="pct"/>
            <w:vAlign w:val="center"/>
          </w:tcPr>
          <w:tbl>
            <w:tblPr>
              <w:tblW w:w="0" w:type="auto"/>
              <w:tblCellSpacing w:w="0" w:type="dxa"/>
              <w:tblCellMar>
                <w:left w:w="0" w:type="dxa"/>
                <w:right w:w="0" w:type="dxa"/>
              </w:tblCellMar>
              <w:tblLook w:val="04A0" w:firstRow="1" w:lastRow="0" w:firstColumn="1" w:lastColumn="0" w:noHBand="0" w:noVBand="1"/>
            </w:tblPr>
            <w:tblGrid>
              <w:gridCol w:w="6"/>
              <w:gridCol w:w="2238"/>
            </w:tblGrid>
            <w:tr w:rsidR="00E37F59" w:rsidRPr="004376E0" w14:paraId="30392812" w14:textId="77777777" w:rsidTr="004376E0">
              <w:trPr>
                <w:tblCellSpacing w:w="0" w:type="dxa"/>
              </w:trPr>
              <w:tc>
                <w:tcPr>
                  <w:tcW w:w="0" w:type="auto"/>
                  <w:vAlign w:val="center"/>
                  <w:hideMark/>
                </w:tcPr>
                <w:p w14:paraId="2F81BD24"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2238" w:type="dxa"/>
                  <w:vAlign w:val="center"/>
                  <w:hideMark/>
                </w:tcPr>
                <w:p w14:paraId="3D1D830C" w14:textId="50B31CE4"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86:02:1001001:2004/14</w:t>
                  </w:r>
                </w:p>
              </w:tc>
            </w:tr>
          </w:tbl>
          <w:p w14:paraId="1BC303AC" w14:textId="77777777" w:rsidR="00E37F59" w:rsidRPr="004376E0" w:rsidRDefault="00E37F59" w:rsidP="00E37F59">
            <w:pPr>
              <w:spacing w:after="0" w:line="240" w:lineRule="auto"/>
              <w:ind w:right="-100"/>
              <w:jc w:val="center"/>
              <w:rPr>
                <w:rFonts w:ascii="Times New Roman" w:hAnsi="Times New Roman" w:cs="Times New Roman"/>
                <w:color w:val="000000" w:themeColor="text1"/>
                <w:sz w:val="20"/>
                <w:szCs w:val="20"/>
              </w:rPr>
            </w:pPr>
          </w:p>
        </w:tc>
        <w:tc>
          <w:tcPr>
            <w:tcW w:w="1519" w:type="pct"/>
            <w:vAlign w:val="center"/>
          </w:tcPr>
          <w:p w14:paraId="23709BC0"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3213EC6B"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Merge/>
            <w:vAlign w:val="center"/>
          </w:tcPr>
          <w:p w14:paraId="41618C47"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p>
        </w:tc>
        <w:tc>
          <w:tcPr>
            <w:tcW w:w="741" w:type="pct"/>
            <w:shd w:val="clear" w:color="auto" w:fill="auto"/>
            <w:vAlign w:val="center"/>
          </w:tcPr>
          <w:p w14:paraId="564F5D9A"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1855</w:t>
            </w:r>
          </w:p>
        </w:tc>
      </w:tr>
      <w:tr w:rsidR="00E37F59" w:rsidRPr="004376E0" w14:paraId="44DC718E" w14:textId="77777777" w:rsidTr="004376E0">
        <w:trPr>
          <w:trHeight w:val="20"/>
          <w:jc w:val="center"/>
        </w:trPr>
        <w:tc>
          <w:tcPr>
            <w:tcW w:w="285" w:type="pct"/>
            <w:vAlign w:val="center"/>
          </w:tcPr>
          <w:p w14:paraId="0DC07347"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3</w:t>
            </w:r>
          </w:p>
        </w:tc>
        <w:tc>
          <w:tcPr>
            <w:tcW w:w="1350" w:type="pct"/>
            <w:vAlign w:val="center"/>
          </w:tcPr>
          <w:tbl>
            <w:tblPr>
              <w:tblW w:w="0" w:type="auto"/>
              <w:tblCellSpacing w:w="0" w:type="dxa"/>
              <w:tblCellMar>
                <w:left w:w="0" w:type="dxa"/>
                <w:right w:w="0" w:type="dxa"/>
              </w:tblCellMar>
              <w:tblLook w:val="04A0" w:firstRow="1" w:lastRow="0" w:firstColumn="1" w:lastColumn="0" w:noHBand="0" w:noVBand="1"/>
            </w:tblPr>
            <w:tblGrid>
              <w:gridCol w:w="6"/>
              <w:gridCol w:w="2238"/>
            </w:tblGrid>
            <w:tr w:rsidR="00E37F59" w:rsidRPr="004376E0" w14:paraId="36DC3141" w14:textId="77777777" w:rsidTr="004376E0">
              <w:trPr>
                <w:tblCellSpacing w:w="0" w:type="dxa"/>
              </w:trPr>
              <w:tc>
                <w:tcPr>
                  <w:tcW w:w="0" w:type="auto"/>
                  <w:vAlign w:val="center"/>
                  <w:hideMark/>
                </w:tcPr>
                <w:p w14:paraId="2B132683"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2238" w:type="dxa"/>
                  <w:vAlign w:val="center"/>
                  <w:hideMark/>
                </w:tcPr>
                <w:p w14:paraId="15ECC207" w14:textId="02684966"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86:02:1001001:2004/15</w:t>
                  </w:r>
                </w:p>
              </w:tc>
            </w:tr>
          </w:tbl>
          <w:p w14:paraId="385A529F"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1519" w:type="pct"/>
            <w:vAlign w:val="center"/>
          </w:tcPr>
          <w:p w14:paraId="7C206697"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020C9DFA"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sz w:val="20"/>
                <w:szCs w:val="20"/>
              </w:rPr>
              <w:t xml:space="preserve"> «РИТЭК»</w:t>
            </w:r>
          </w:p>
        </w:tc>
        <w:tc>
          <w:tcPr>
            <w:tcW w:w="1105" w:type="pct"/>
            <w:vMerge/>
            <w:vAlign w:val="center"/>
          </w:tcPr>
          <w:p w14:paraId="391541AF" w14:textId="77777777" w:rsidR="00E37F59" w:rsidRPr="004376E0" w:rsidRDefault="00E37F59" w:rsidP="00E37F59">
            <w:pPr>
              <w:spacing w:after="0" w:line="240" w:lineRule="auto"/>
              <w:jc w:val="center"/>
              <w:rPr>
                <w:rFonts w:ascii="Times New Roman" w:hAnsi="Times New Roman" w:cs="Times New Roman"/>
                <w:sz w:val="20"/>
                <w:szCs w:val="20"/>
              </w:rPr>
            </w:pPr>
          </w:p>
        </w:tc>
        <w:tc>
          <w:tcPr>
            <w:tcW w:w="741" w:type="pct"/>
            <w:shd w:val="clear" w:color="auto" w:fill="auto"/>
            <w:vAlign w:val="center"/>
          </w:tcPr>
          <w:p w14:paraId="7F85A373"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4428</w:t>
            </w:r>
          </w:p>
        </w:tc>
      </w:tr>
      <w:tr w:rsidR="00E37F59" w:rsidRPr="004376E0" w14:paraId="2C0BF10A" w14:textId="77777777" w:rsidTr="004376E0">
        <w:trPr>
          <w:trHeight w:val="20"/>
          <w:jc w:val="center"/>
        </w:trPr>
        <w:tc>
          <w:tcPr>
            <w:tcW w:w="285" w:type="pct"/>
            <w:vAlign w:val="center"/>
          </w:tcPr>
          <w:p w14:paraId="57FD3B50"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4</w:t>
            </w:r>
          </w:p>
        </w:tc>
        <w:tc>
          <w:tcPr>
            <w:tcW w:w="1350" w:type="pct"/>
            <w:vAlign w:val="center"/>
          </w:tcPr>
          <w:tbl>
            <w:tblPr>
              <w:tblW w:w="0" w:type="auto"/>
              <w:tblCellSpacing w:w="0" w:type="dxa"/>
              <w:tblCellMar>
                <w:left w:w="0" w:type="dxa"/>
                <w:right w:w="0" w:type="dxa"/>
              </w:tblCellMar>
              <w:tblLook w:val="04A0" w:firstRow="1" w:lastRow="0" w:firstColumn="1" w:lastColumn="0" w:noHBand="0" w:noVBand="1"/>
            </w:tblPr>
            <w:tblGrid>
              <w:gridCol w:w="6"/>
              <w:gridCol w:w="2238"/>
            </w:tblGrid>
            <w:tr w:rsidR="00E37F59" w:rsidRPr="004376E0" w14:paraId="71812E9A" w14:textId="77777777" w:rsidTr="004376E0">
              <w:trPr>
                <w:tblCellSpacing w:w="0" w:type="dxa"/>
              </w:trPr>
              <w:tc>
                <w:tcPr>
                  <w:tcW w:w="0" w:type="auto"/>
                  <w:vAlign w:val="center"/>
                  <w:hideMark/>
                </w:tcPr>
                <w:p w14:paraId="28D94707"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2238" w:type="dxa"/>
                  <w:vAlign w:val="center"/>
                  <w:hideMark/>
                </w:tcPr>
                <w:p w14:paraId="32869EA7"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86:02:0203001:1941</w:t>
                  </w:r>
                </w:p>
              </w:tc>
            </w:tr>
          </w:tbl>
          <w:p w14:paraId="03E5C428"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1519" w:type="pct"/>
            <w:vAlign w:val="center"/>
          </w:tcPr>
          <w:p w14:paraId="20A2EFE6"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25DA1B54"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Align w:val="center"/>
          </w:tcPr>
          <w:p w14:paraId="3B573803"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Обустройство скважин №1, 2, вз.3, 4</w:t>
            </w:r>
          </w:p>
        </w:tc>
        <w:tc>
          <w:tcPr>
            <w:tcW w:w="741" w:type="pct"/>
            <w:shd w:val="clear" w:color="auto" w:fill="auto"/>
            <w:vAlign w:val="center"/>
          </w:tcPr>
          <w:p w14:paraId="1C0CA468"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27040</w:t>
            </w:r>
          </w:p>
        </w:tc>
      </w:tr>
      <w:tr w:rsidR="00E37F59" w:rsidRPr="004376E0" w14:paraId="2AAA7A88" w14:textId="77777777" w:rsidTr="004376E0">
        <w:trPr>
          <w:trHeight w:val="20"/>
          <w:jc w:val="center"/>
        </w:trPr>
        <w:tc>
          <w:tcPr>
            <w:tcW w:w="285" w:type="pct"/>
            <w:vAlign w:val="center"/>
          </w:tcPr>
          <w:p w14:paraId="612ADC81"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5</w:t>
            </w:r>
          </w:p>
        </w:tc>
        <w:tc>
          <w:tcPr>
            <w:tcW w:w="1350" w:type="pct"/>
            <w:vAlign w:val="center"/>
          </w:tcPr>
          <w:tbl>
            <w:tblPr>
              <w:tblW w:w="0" w:type="auto"/>
              <w:tblCellSpacing w:w="0" w:type="dxa"/>
              <w:tblCellMar>
                <w:left w:w="0" w:type="dxa"/>
                <w:right w:w="0" w:type="dxa"/>
              </w:tblCellMar>
              <w:tblLook w:val="04A0" w:firstRow="1" w:lastRow="0" w:firstColumn="1" w:lastColumn="0" w:noHBand="0" w:noVBand="1"/>
            </w:tblPr>
            <w:tblGrid>
              <w:gridCol w:w="6"/>
              <w:gridCol w:w="2238"/>
            </w:tblGrid>
            <w:tr w:rsidR="00E37F59" w:rsidRPr="004376E0" w14:paraId="2B2798FF" w14:textId="77777777" w:rsidTr="004376E0">
              <w:trPr>
                <w:tblCellSpacing w:w="0" w:type="dxa"/>
              </w:trPr>
              <w:tc>
                <w:tcPr>
                  <w:tcW w:w="0" w:type="auto"/>
                  <w:vAlign w:val="center"/>
                  <w:hideMark/>
                </w:tcPr>
                <w:p w14:paraId="445A32D4"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2238" w:type="dxa"/>
                  <w:vAlign w:val="center"/>
                  <w:hideMark/>
                </w:tcPr>
                <w:p w14:paraId="535CD36B"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86:02:0203001:1941</w:t>
                  </w:r>
                </w:p>
              </w:tc>
            </w:tr>
          </w:tbl>
          <w:p w14:paraId="29254269" w14:textId="77777777" w:rsidR="00E37F59" w:rsidRPr="004376E0" w:rsidRDefault="00E37F59" w:rsidP="00E37F59">
            <w:pPr>
              <w:spacing w:after="0" w:line="240" w:lineRule="auto"/>
              <w:ind w:right="-120"/>
              <w:jc w:val="center"/>
              <w:rPr>
                <w:rFonts w:ascii="Times New Roman" w:hAnsi="Times New Roman" w:cs="Times New Roman"/>
                <w:color w:val="000000" w:themeColor="text1"/>
                <w:sz w:val="20"/>
                <w:szCs w:val="20"/>
              </w:rPr>
            </w:pPr>
          </w:p>
        </w:tc>
        <w:tc>
          <w:tcPr>
            <w:tcW w:w="1519" w:type="pct"/>
            <w:vAlign w:val="center"/>
          </w:tcPr>
          <w:p w14:paraId="15716C78"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3B5B0585"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Align w:val="center"/>
          </w:tcPr>
          <w:p w14:paraId="2DEF958F"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Обустройство скважин №5, 6, вз.7 ,8</w:t>
            </w:r>
          </w:p>
        </w:tc>
        <w:tc>
          <w:tcPr>
            <w:tcW w:w="741" w:type="pct"/>
            <w:shd w:val="clear" w:color="auto" w:fill="auto"/>
            <w:vAlign w:val="center"/>
          </w:tcPr>
          <w:p w14:paraId="5B496B69"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9080</w:t>
            </w:r>
          </w:p>
        </w:tc>
      </w:tr>
      <w:tr w:rsidR="00E37F59" w:rsidRPr="004376E0" w14:paraId="008D8677" w14:textId="77777777" w:rsidTr="004376E0">
        <w:trPr>
          <w:trHeight w:val="20"/>
          <w:jc w:val="center"/>
        </w:trPr>
        <w:tc>
          <w:tcPr>
            <w:tcW w:w="285" w:type="pct"/>
            <w:vAlign w:val="center"/>
          </w:tcPr>
          <w:p w14:paraId="692B6FA5"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6</w:t>
            </w:r>
          </w:p>
        </w:tc>
        <w:tc>
          <w:tcPr>
            <w:tcW w:w="1350" w:type="pct"/>
            <w:vAlign w:val="center"/>
          </w:tcPr>
          <w:p w14:paraId="42670EA4"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86:02:0203001:1941</w:t>
            </w:r>
          </w:p>
        </w:tc>
        <w:tc>
          <w:tcPr>
            <w:tcW w:w="1519" w:type="pct"/>
            <w:vAlign w:val="center"/>
          </w:tcPr>
          <w:p w14:paraId="06A99388"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328D75BD"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Align w:val="center"/>
          </w:tcPr>
          <w:p w14:paraId="77EAA960"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Обустройство скважин №9, 10, 11, 12, 13</w:t>
            </w:r>
          </w:p>
        </w:tc>
        <w:tc>
          <w:tcPr>
            <w:tcW w:w="741" w:type="pct"/>
            <w:shd w:val="clear" w:color="auto" w:fill="auto"/>
            <w:vAlign w:val="center"/>
          </w:tcPr>
          <w:p w14:paraId="0070C04A"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14229</w:t>
            </w:r>
          </w:p>
        </w:tc>
      </w:tr>
      <w:tr w:rsidR="00E37F59" w:rsidRPr="004376E0" w14:paraId="37CF0E7E" w14:textId="77777777" w:rsidTr="004376E0">
        <w:trPr>
          <w:trHeight w:val="20"/>
          <w:jc w:val="center"/>
        </w:trPr>
        <w:tc>
          <w:tcPr>
            <w:tcW w:w="285" w:type="pct"/>
            <w:vAlign w:val="center"/>
          </w:tcPr>
          <w:p w14:paraId="506C43D2"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7</w:t>
            </w:r>
          </w:p>
        </w:tc>
        <w:tc>
          <w:tcPr>
            <w:tcW w:w="1350" w:type="pct"/>
            <w:vAlign w:val="center"/>
          </w:tcPr>
          <w:p w14:paraId="6472A44A"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86:02:0203001:1941</w:t>
            </w:r>
          </w:p>
        </w:tc>
        <w:tc>
          <w:tcPr>
            <w:tcW w:w="1519" w:type="pct"/>
            <w:vAlign w:val="center"/>
          </w:tcPr>
          <w:p w14:paraId="1D15AA0A"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6328FE79"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Align w:val="center"/>
          </w:tcPr>
          <w:p w14:paraId="36B754AE"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Система ППД</w:t>
            </w:r>
          </w:p>
        </w:tc>
        <w:tc>
          <w:tcPr>
            <w:tcW w:w="741" w:type="pct"/>
            <w:shd w:val="clear" w:color="auto" w:fill="auto"/>
            <w:vAlign w:val="center"/>
          </w:tcPr>
          <w:p w14:paraId="32386031"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179</w:t>
            </w:r>
          </w:p>
        </w:tc>
      </w:tr>
      <w:tr w:rsidR="00E37F59" w:rsidRPr="004376E0" w14:paraId="19CBDD17" w14:textId="77777777" w:rsidTr="004376E0">
        <w:trPr>
          <w:trHeight w:val="20"/>
          <w:jc w:val="center"/>
        </w:trPr>
        <w:tc>
          <w:tcPr>
            <w:tcW w:w="285" w:type="pct"/>
            <w:vAlign w:val="center"/>
          </w:tcPr>
          <w:p w14:paraId="1D6BD7AF"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8</w:t>
            </w:r>
          </w:p>
        </w:tc>
        <w:tc>
          <w:tcPr>
            <w:tcW w:w="1350" w:type="pct"/>
            <w:vAlign w:val="center"/>
          </w:tcPr>
          <w:p w14:paraId="4D3E1B3B"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86:02:0203001:1941</w:t>
            </w:r>
          </w:p>
        </w:tc>
        <w:tc>
          <w:tcPr>
            <w:tcW w:w="1519" w:type="pct"/>
            <w:vAlign w:val="center"/>
          </w:tcPr>
          <w:p w14:paraId="62A78B49"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аренда АО</w:t>
            </w:r>
          </w:p>
          <w:p w14:paraId="50975C17"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 xml:space="preserve"> «РИТЭК»</w:t>
            </w:r>
          </w:p>
        </w:tc>
        <w:tc>
          <w:tcPr>
            <w:tcW w:w="1105" w:type="pct"/>
            <w:vAlign w:val="center"/>
          </w:tcPr>
          <w:p w14:paraId="59B4BFC3"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sz w:val="20"/>
                <w:szCs w:val="20"/>
              </w:rPr>
              <w:t>Инженерная подготовка и обустройство скважин №14, 15, 16, 17, 18</w:t>
            </w:r>
          </w:p>
        </w:tc>
        <w:tc>
          <w:tcPr>
            <w:tcW w:w="741" w:type="pct"/>
            <w:shd w:val="clear" w:color="auto" w:fill="auto"/>
            <w:vAlign w:val="center"/>
          </w:tcPr>
          <w:p w14:paraId="062D7AC7"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28502</w:t>
            </w:r>
          </w:p>
        </w:tc>
      </w:tr>
      <w:tr w:rsidR="00E37F59" w:rsidRPr="004376E0" w14:paraId="154398D9" w14:textId="77777777" w:rsidTr="004376E0">
        <w:trPr>
          <w:trHeight w:val="20"/>
          <w:jc w:val="center"/>
        </w:trPr>
        <w:tc>
          <w:tcPr>
            <w:tcW w:w="4259" w:type="pct"/>
            <w:gridSpan w:val="4"/>
            <w:vAlign w:val="center"/>
          </w:tcPr>
          <w:p w14:paraId="3CED890E" w14:textId="77777777" w:rsidR="00E37F59" w:rsidRPr="004376E0" w:rsidRDefault="00E37F59" w:rsidP="00E37F59">
            <w:pPr>
              <w:spacing w:after="0" w:line="240" w:lineRule="auto"/>
              <w:jc w:val="center"/>
              <w:rPr>
                <w:rFonts w:ascii="Times New Roman" w:hAnsi="Times New Roman" w:cs="Times New Roman"/>
                <w:sz w:val="20"/>
                <w:szCs w:val="20"/>
              </w:rPr>
            </w:pPr>
            <w:r w:rsidRPr="004376E0">
              <w:rPr>
                <w:rFonts w:ascii="Times New Roman" w:hAnsi="Times New Roman" w:cs="Times New Roman"/>
                <w:color w:val="000000" w:themeColor="text1"/>
                <w:sz w:val="20"/>
                <w:szCs w:val="20"/>
              </w:rPr>
              <w:t>Всего</w:t>
            </w:r>
          </w:p>
        </w:tc>
        <w:tc>
          <w:tcPr>
            <w:tcW w:w="741" w:type="pct"/>
            <w:shd w:val="clear" w:color="auto" w:fill="auto"/>
            <w:vAlign w:val="center"/>
          </w:tcPr>
          <w:p w14:paraId="7FAFC5C8" w14:textId="77777777" w:rsidR="00E37F59" w:rsidRPr="004376E0" w:rsidRDefault="00E37F59" w:rsidP="00E37F59">
            <w:pPr>
              <w:spacing w:after="0" w:line="240" w:lineRule="auto"/>
              <w:jc w:val="center"/>
              <w:rPr>
                <w:rFonts w:ascii="Times New Roman" w:hAnsi="Times New Roman" w:cs="Times New Roman"/>
                <w:color w:val="000000" w:themeColor="text1"/>
                <w:sz w:val="20"/>
                <w:szCs w:val="20"/>
              </w:rPr>
            </w:pPr>
            <w:r w:rsidRPr="004376E0">
              <w:rPr>
                <w:rFonts w:ascii="Times New Roman" w:hAnsi="Times New Roman" w:cs="Times New Roman"/>
                <w:color w:val="000000" w:themeColor="text1"/>
                <w:sz w:val="20"/>
                <w:szCs w:val="20"/>
              </w:rPr>
              <w:t>130298</w:t>
            </w:r>
          </w:p>
        </w:tc>
      </w:tr>
    </w:tbl>
    <w:p w14:paraId="72EA820E" w14:textId="77777777" w:rsidR="00E37F59" w:rsidRPr="004376E0" w:rsidRDefault="00E37F59" w:rsidP="00127AF8">
      <w:pPr>
        <w:pStyle w:val="ab"/>
        <w:tabs>
          <w:tab w:val="left" w:pos="9781"/>
          <w:tab w:val="left" w:pos="9923"/>
        </w:tabs>
        <w:spacing w:after="0" w:line="360" w:lineRule="auto"/>
        <w:ind w:firstLine="709"/>
        <w:jc w:val="both"/>
        <w:rPr>
          <w:szCs w:val="24"/>
        </w:rPr>
      </w:pPr>
    </w:p>
    <w:p w14:paraId="301328B9" w14:textId="75D4771D"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Максимальный процент застройки зон планируемо размещения объектов капитального строительства составляет:</w:t>
      </w:r>
    </w:p>
    <w:p w14:paraId="6A0E11E7"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 нефтегазосборный трубопровод от Куста №17 до точки врезки в нефтепровод скв. №231-Кустовая площадка №1 – 0,1038%;</w:t>
      </w:r>
    </w:p>
    <w:p w14:paraId="38D1BCCF"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 ВЛ-10 кВ (фидер 1) (проект 1 этап) – 0,0197%;</w:t>
      </w:r>
    </w:p>
    <w:p w14:paraId="49B4F578" w14:textId="6EC1F018" w:rsidR="00127AF8" w:rsidRPr="004376E0" w:rsidRDefault="00127AF8" w:rsidP="00E37F59">
      <w:pPr>
        <w:pStyle w:val="ab"/>
        <w:tabs>
          <w:tab w:val="left" w:pos="9781"/>
          <w:tab w:val="left" w:pos="9923"/>
        </w:tabs>
        <w:spacing w:after="0" w:line="360" w:lineRule="auto"/>
        <w:ind w:firstLine="709"/>
        <w:jc w:val="both"/>
        <w:rPr>
          <w:szCs w:val="24"/>
        </w:rPr>
      </w:pPr>
      <w:r w:rsidRPr="004376E0">
        <w:rPr>
          <w:szCs w:val="24"/>
        </w:rPr>
        <w:t>- ВЛ-10 кВ (фидер 2) (проект 1 этап) – 0,0219%.</w:t>
      </w:r>
    </w:p>
    <w:p w14:paraId="3E39CF9D"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линейных объектов и, за пределами которых запрещено строительство таких объектов составляет 3 метра.</w:t>
      </w:r>
    </w:p>
    <w:p w14:paraId="4ADE9DC4"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 xml:space="preserve">Проектируемый объект расположен на землях лесного фонда. </w:t>
      </w:r>
    </w:p>
    <w:p w14:paraId="595738F9"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Конструирование блок-боксов (зданий заводской поставки) выполняется производителем, определённым на тендерной основе исходя из требований, предъявляемых в опросных листах и проектных решений, информации представленной в инженерных изысканиях, в зависимости от района строительства, согласно действующим нормативным документов, на базе унифицированных решений производителя. В проекте указываются обобщённые требования к зданиям заводской поставки.</w:t>
      </w:r>
    </w:p>
    <w:p w14:paraId="0231A152"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 xml:space="preserve">Ограждающие конструкции блок-боксов выполняются из трехслойных комплексных панелей типа «Сэндвич» с наружной обшивкой из стального оцинкованного профилированного листа и негорючего утеплителя. </w:t>
      </w:r>
    </w:p>
    <w:p w14:paraId="450679BE"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 xml:space="preserve">Толщина наружных ограждающих конструкций стен, покрытий и перекрытий здания принимается по расчету в соответствии с требованиями СП 50.13330.2012 «Тепловая защита зданий» в зависимости от климатических параметров </w:t>
      </w:r>
      <w:r w:rsidRPr="004376E0">
        <w:rPr>
          <w:szCs w:val="24"/>
        </w:rPr>
        <w:br/>
        <w:t>и внутреннего температурного и влажностного режима эксплуатации.</w:t>
      </w:r>
    </w:p>
    <w:p w14:paraId="24793549" w14:textId="77777777" w:rsidR="00127AF8" w:rsidRPr="004376E0" w:rsidRDefault="00127AF8" w:rsidP="00127AF8">
      <w:pPr>
        <w:pStyle w:val="ab"/>
        <w:tabs>
          <w:tab w:val="left" w:pos="9781"/>
          <w:tab w:val="left" w:pos="9923"/>
        </w:tabs>
        <w:spacing w:after="0" w:line="360" w:lineRule="auto"/>
        <w:ind w:firstLine="709"/>
        <w:jc w:val="both"/>
        <w:rPr>
          <w:szCs w:val="24"/>
        </w:rPr>
      </w:pPr>
      <w:r w:rsidRPr="004376E0">
        <w:rPr>
          <w:szCs w:val="24"/>
        </w:rPr>
        <w:t>Пароизоляция и гидроизоляция ограждающих конструкций обеспечивается за счёт слоёв тонколистовой профилированной стали в составе конструкции стен блочно-модульных зданий и герметизации швов внутреннего и наружного слоёв стали.</w:t>
      </w:r>
    </w:p>
    <w:p w14:paraId="330F2E92" w14:textId="58685893" w:rsidR="003E64C5" w:rsidRPr="004376E0" w:rsidRDefault="003E64C5" w:rsidP="00A045F1">
      <w:pPr>
        <w:pStyle w:val="ab"/>
        <w:tabs>
          <w:tab w:val="left" w:pos="9781"/>
          <w:tab w:val="left" w:pos="9923"/>
        </w:tabs>
        <w:spacing w:before="240" w:line="360" w:lineRule="auto"/>
        <w:jc w:val="both"/>
      </w:pPr>
      <w:r w:rsidRPr="004376E0">
        <w:t>2.6 Информация о необходимости осуществления мероприятий по защите сохраняемых объектов капитального строительства</w:t>
      </w:r>
    </w:p>
    <w:p w14:paraId="687A76DF" w14:textId="77777777" w:rsidR="003E64C5" w:rsidRPr="004376E0" w:rsidRDefault="003E64C5" w:rsidP="003E64C5">
      <w:pPr>
        <w:pStyle w:val="ab"/>
        <w:tabs>
          <w:tab w:val="left" w:pos="9781"/>
          <w:tab w:val="left" w:pos="9923"/>
        </w:tabs>
        <w:spacing w:line="360" w:lineRule="auto"/>
        <w:ind w:firstLine="709"/>
        <w:jc w:val="both"/>
        <w:rPr>
          <w:szCs w:val="24"/>
        </w:rPr>
      </w:pPr>
      <w:r w:rsidRPr="004376E0">
        <w:rPr>
          <w:szCs w:val="24"/>
        </w:rPr>
        <w:t>Объекты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 же объекты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 отсутствуют.</w:t>
      </w:r>
    </w:p>
    <w:p w14:paraId="3D2F2F11" w14:textId="77777777" w:rsidR="003E64C5" w:rsidRPr="004376E0" w:rsidRDefault="003E64C5" w:rsidP="003E64C5">
      <w:pPr>
        <w:pStyle w:val="ab"/>
        <w:tabs>
          <w:tab w:val="left" w:pos="9781"/>
          <w:tab w:val="left" w:pos="9923"/>
        </w:tabs>
        <w:spacing w:line="360" w:lineRule="auto"/>
        <w:jc w:val="both"/>
      </w:pPr>
      <w:r w:rsidRPr="004376E0">
        <w:t>2.7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14:paraId="11EAA19C" w14:textId="77777777" w:rsidR="00A045F1" w:rsidRPr="004376E0" w:rsidRDefault="00A045F1" w:rsidP="00A045F1">
      <w:pPr>
        <w:pStyle w:val="ab"/>
        <w:tabs>
          <w:tab w:val="left" w:pos="9781"/>
          <w:tab w:val="left" w:pos="9923"/>
        </w:tabs>
        <w:spacing w:after="0" w:line="360" w:lineRule="auto"/>
        <w:ind w:firstLine="709"/>
        <w:jc w:val="both"/>
        <w:rPr>
          <w:szCs w:val="24"/>
        </w:rPr>
      </w:pPr>
      <w:r w:rsidRPr="004376E0">
        <w:rPr>
          <w:szCs w:val="24"/>
        </w:rPr>
        <w:t>В соответствии с заключением службы государственной охраны объектов культурного наследия Ханты-Мансийского автономного округа – Югры № 18-4782 от 21.11.2018 г. испрашиваемый земельный участок расположен вне зон охраны/защитных зон объектов культурного наследия (приложение Б).</w:t>
      </w:r>
    </w:p>
    <w:p w14:paraId="260D4838" w14:textId="77777777" w:rsidR="003A2584" w:rsidRPr="004376E0" w:rsidRDefault="003A2584" w:rsidP="003A2584">
      <w:pPr>
        <w:pStyle w:val="ab"/>
        <w:tabs>
          <w:tab w:val="left" w:pos="9781"/>
          <w:tab w:val="left" w:pos="9923"/>
        </w:tabs>
        <w:spacing w:after="0" w:line="360" w:lineRule="auto"/>
        <w:ind w:firstLine="709"/>
        <w:jc w:val="both"/>
        <w:rPr>
          <w:szCs w:val="24"/>
        </w:rPr>
      </w:pPr>
    </w:p>
    <w:p w14:paraId="66984AE8" w14:textId="77777777" w:rsidR="001A58E8" w:rsidRPr="004376E0" w:rsidRDefault="001A58E8" w:rsidP="001A58E8">
      <w:pPr>
        <w:pStyle w:val="ab"/>
        <w:tabs>
          <w:tab w:val="left" w:pos="9781"/>
          <w:tab w:val="left" w:pos="9923"/>
        </w:tabs>
        <w:spacing w:line="360" w:lineRule="auto"/>
        <w:jc w:val="both"/>
      </w:pPr>
      <w:r w:rsidRPr="004376E0">
        <w:t>2.8 Информация о необходимости осуществления мероприятий по охране окружающей среды</w:t>
      </w:r>
    </w:p>
    <w:p w14:paraId="7B7E99D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охране атмосферного воздуха</w:t>
      </w:r>
    </w:p>
    <w:p w14:paraId="42DFEA9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охране атмосферного воздуха от воздействия проектируемого объектов в период СМР </w:t>
      </w:r>
    </w:p>
    <w:p w14:paraId="2336E8C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Выбросы загрязняющих веществ в период строительства объекта носят временный характер. Для снижения воздействия со стороны объектов в период проведения СМР на состояние атмосферного воздуха, необходимо предусмотреть мероприятия по уменьшению выбросов загрязняющих веществ в атмосферу. </w:t>
      </w:r>
    </w:p>
    <w:p w14:paraId="0C8D49A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Учитывая, что основными источниками выбросов загрязняющих веществ в атмосферу являются работающие двигатели автотранспорта и строительной техники, основные мероприятия по уменьшению выбросов в атмосферу должны включать: </w:t>
      </w:r>
    </w:p>
    <w:p w14:paraId="234E5A7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использование неэтилированного бензина, дизельного топлива с низким содержанием серы;</w:t>
      </w:r>
    </w:p>
    <w:p w14:paraId="0FF14AD2"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комплектацию парка техники строительными машинами с силовыми установками, обеспечивающими минимальные удельные выбросы вредных веществ в атмосферу (оксид углерода, углеводороды, оксиды азота и т.д.); </w:t>
      </w:r>
    </w:p>
    <w:p w14:paraId="36D0079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осуществление запуска и прогрева двигателей транспортных средств строительных машин по утвержденному графику с обязательной диагностикой выхлопа загрязняющих веществ; </w:t>
      </w:r>
    </w:p>
    <w:p w14:paraId="65C1347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контроль работы техники в период вынужденного простоя или технического перерыва в работе (стоянка техники в эти периоды разрешается только при неработающем двигателе); </w:t>
      </w:r>
    </w:p>
    <w:p w14:paraId="400724B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рассредоточение во время работы строительных машин и механизмов, не задействованных в едином непрерывном технологическом процессе; </w:t>
      </w:r>
    </w:p>
    <w:p w14:paraId="6D18EFC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движение транспорта по установленной схеме, недопущение неконтролируемых поездок; </w:t>
      </w:r>
    </w:p>
    <w:p w14:paraId="70B46B7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обеспечение профилактического ремонта дизельных механизмов; </w:t>
      </w:r>
    </w:p>
    <w:p w14:paraId="548B353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применение специальных присадок к топливу, увеличивающих полноту его сгорания и уменьшающих выброс окиси углерода; </w:t>
      </w:r>
    </w:p>
    <w:p w14:paraId="7B84F3A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контроль за соблюдением технологии производства работ. </w:t>
      </w:r>
    </w:p>
    <w:p w14:paraId="3684B08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К общим воздухоохранным мероприятиям относятся следующие: </w:t>
      </w:r>
    </w:p>
    <w:p w14:paraId="1B75EB5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строгое соблюдение правил противопожарной безопасности при выполнении всех работ; </w:t>
      </w:r>
    </w:p>
    <w:p w14:paraId="15D315F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запрет на сжигание образующегося в процессе проведения работ строительного и бытового мусора; </w:t>
      </w:r>
    </w:p>
    <w:p w14:paraId="5DFE93F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максимальное использование изделий заводского изготовления полной готовности (комплектной поставки) и сборных конструкций.</w:t>
      </w:r>
    </w:p>
    <w:p w14:paraId="0A8093B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рациональному использованию и охране водных ресурсов </w:t>
      </w:r>
    </w:p>
    <w:p w14:paraId="01B0043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охране водных ресурсов объекта при строительстве</w:t>
      </w:r>
    </w:p>
    <w:p w14:paraId="589F5E7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уменьшения негативного воздействия на водные объекты и водные биоресурсы при строительстве проектной документацией предусмотрено:</w:t>
      </w:r>
    </w:p>
    <w:p w14:paraId="74F6FD6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-соблюдение границы участков, отводимых под строительство;</w:t>
      </w:r>
    </w:p>
    <w:p w14:paraId="4265306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-проезд строительной техники на специально отведенных проездах с твердым покрытием;</w:t>
      </w:r>
    </w:p>
    <w:p w14:paraId="3EFF290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-оснащение строительных площадок, где работают машины и механизмы, адсорбентом на случай утечек ГСМ;</w:t>
      </w:r>
    </w:p>
    <w:p w14:paraId="5DD6A9B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-образующиеся хозяйственно-бытовые сточные воды собираются в специализированные емкости с последующим вывозом;</w:t>
      </w:r>
    </w:p>
    <w:p w14:paraId="0F38E09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-разборка всех временных сооружений, а также очистка стройплощадки и благо-устройство нарушенных земель после окончания строительства;</w:t>
      </w:r>
    </w:p>
    <w:p w14:paraId="140BD86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-проведение работ с учетом периодов массового нереста как весенне- нерестующих, так и осенне-нерестующих рыб, благодаря тому, что все строительные работы проходят в зимний период, что исключает воздействие на нерест рыб;</w:t>
      </w:r>
    </w:p>
    <w:p w14:paraId="257A4E2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-обеспечение возможности свободной миграции рыб к местам естественного вос-производства, что достигается путем проведения строительных работ в зимний период и отсутствием опор  ВЛ в руслах пересекаемых водных объектов;</w:t>
      </w:r>
    </w:p>
    <w:p w14:paraId="6013DF8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-отсутствие каркасов из порубочных материалов в местах пересечения водных объектов вдоль трассовым переездом, функционирующем в период строительства.</w:t>
      </w:r>
    </w:p>
    <w:p w14:paraId="7572A62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на территориях, которые примыкают к береговой линии, устанавливается специальный режим осуществления хозяйственной и иной деятельности:</w:t>
      </w:r>
    </w:p>
    <w:p w14:paraId="4A5C8F1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-соблюдение режимов водоохранных зон и прибрежных защитных полос, а также рыбоохранных зон в местах пересечения водных объектов, что включает в себя движение транспортных средств, на специально отведенных проездах с твердым покрытием, расположение мест складирования строительных материалов, площадок накопления отходов, стоянок техники, мест заправки и мойки транспортных средств вне водоохранных зон водных объектов.</w:t>
      </w:r>
    </w:p>
    <w:p w14:paraId="5BEA414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охране водных ресурсов в период эксплуатации объектов </w:t>
      </w:r>
    </w:p>
    <w:p w14:paraId="44D7AF3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В связи с тем, что коридор коммуникаций пересекает водный объект и находится в водоохранной и, рыбоохранной зонах, прибрежно защитных полосах водных объектов, проектной документацией предусмотрено:</w:t>
      </w:r>
    </w:p>
    <w:p w14:paraId="2169AA1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-соблюдение режимов водоохранных зон и прибрежных защитных полос, а также рыбоохранных зон в местах пересечения  водных объектов, что включает в себя движение транспортных средств, на специально отведенных проездах с твердым покрытием вне водоохранных зон водных объектов.</w:t>
      </w:r>
    </w:p>
    <w:p w14:paraId="6DAE4D4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охране земельных ресурсов и почвенного покрова </w:t>
      </w:r>
    </w:p>
    <w:p w14:paraId="52D692D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охране и рациональному использованию земельных ресурсов и почвенного покрова</w:t>
      </w:r>
    </w:p>
    <w:p w14:paraId="0CCC7FC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Охрана земель в период строительства объектов обеспечивается комплексом мер по минимизации площадей изымаемых и нарушенных земель, а также комплексом мер по предупреждению химического загрязнения почв.</w:t>
      </w:r>
    </w:p>
    <w:p w14:paraId="1C4DB85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движение транспорта и строительной техники только в пределах подъездных автодорог;</w:t>
      </w:r>
    </w:p>
    <w:p w14:paraId="6CA51E3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ведение всех строительных работ, в том числе работ по отсыпке и планировке площадок строго в границах отвода земель;</w:t>
      </w:r>
    </w:p>
    <w:p w14:paraId="1586256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сбор утечек горюче-смазочных жидкостей в специальные емкости и вывоз их с территории для утилизации;</w:t>
      </w:r>
    </w:p>
    <w:p w14:paraId="565614C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антикоррозионное исполнение оборудования.</w:t>
      </w:r>
    </w:p>
    <w:p w14:paraId="3F67AB6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уменьшения воздействия транспорта на почвенный покров, вводятся следующие ограничения:</w:t>
      </w:r>
    </w:p>
    <w:p w14:paraId="0728309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использование специализированного транспорта с шинами низкого давления, исключающего, или существенно снижающего отрицательное воздействие на растительность и почву;</w:t>
      </w:r>
    </w:p>
    <w:p w14:paraId="2BDDE3D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контроль и нормирование использования транспортных средств.</w:t>
      </w:r>
    </w:p>
    <w:p w14:paraId="7A7A325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уменьшения распространения техногенных загрязнений необходимо осуществить следующие мероприятия:</w:t>
      </w:r>
    </w:p>
    <w:p w14:paraId="3CE9931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своевременно локализация и ликвидация разливов ГСМ или нефти.</w:t>
      </w:r>
    </w:p>
    <w:p w14:paraId="67BC936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рекультивации нарушенных земельных участков</w:t>
      </w:r>
    </w:p>
    <w:p w14:paraId="48708DA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Охрана земель в период строительства объектов обеспечивается комплексом мер по минимизации площадей изымаемых и нарушенных земель, а также комплексом мер по предупреждению химического загрязнения почв.</w:t>
      </w:r>
    </w:p>
    <w:p w14:paraId="20F7C77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движение транспорта и строительной техники только в пределах подъездных автодорог;</w:t>
      </w:r>
    </w:p>
    <w:p w14:paraId="5CACF59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ведение всех строительных работ, в том числе работ по отсыпке и планировке площадок строго в границах отвода земель;</w:t>
      </w:r>
    </w:p>
    <w:p w14:paraId="7257041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сбор утечек горюче-смазочных жидкостей в специальные емкости и вывоз их с территории для утилизации;</w:t>
      </w:r>
    </w:p>
    <w:p w14:paraId="0F43C1F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антикоррозионное исполнение оборудования.</w:t>
      </w:r>
    </w:p>
    <w:p w14:paraId="3574E6C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уменьшения воздействия транспорта на почвенный покров, вводятся следующие ограничения:</w:t>
      </w:r>
    </w:p>
    <w:p w14:paraId="60C6A6D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использование специализированного транспорта с шинами низкого давления, исключающего, или существенно снижающего отрицательное воздействие на растительность и почву;</w:t>
      </w:r>
    </w:p>
    <w:p w14:paraId="3FFBE05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контроль и нормирование использования транспортных средств.</w:t>
      </w:r>
    </w:p>
    <w:p w14:paraId="3CDB7AE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уменьшения распространения техногенных загрязнений необходимо осуществить следующие мероприятия:</w:t>
      </w:r>
    </w:p>
    <w:p w14:paraId="4B07847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своевременно локализация и ликвидация разливов ГСМ или нефти.</w:t>
      </w:r>
    </w:p>
    <w:p w14:paraId="7A7226D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Нарушенные земли, утратившие продуктивность в результате воздействия на них в процессе ведения строительных работ и эксплуатации, подлежат восстановлению (рекультивации) к окончанию срока аренды участка. Отвода под краткосрочную аренду не планируется. Все строительные работы будут вестись на землях с долгосрочной аренды. Предусматривается комплекс мероприятий технического этапа рекультивации.</w:t>
      </w:r>
    </w:p>
    <w:p w14:paraId="0849F7B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Технический этап включает в себя уборку мусора, планировку.</w:t>
      </w:r>
    </w:p>
    <w:p w14:paraId="18B175C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Площадь рекультивации –</w:t>
      </w:r>
      <w:r w:rsidR="003A2584" w:rsidRPr="004376E0">
        <w:rPr>
          <w:szCs w:val="24"/>
        </w:rPr>
        <w:t>13</w:t>
      </w:r>
      <w:r w:rsidRPr="004376E0">
        <w:rPr>
          <w:szCs w:val="24"/>
        </w:rPr>
        <w:t>,</w:t>
      </w:r>
      <w:r w:rsidR="003A2584" w:rsidRPr="004376E0">
        <w:rPr>
          <w:szCs w:val="24"/>
        </w:rPr>
        <w:t>0298</w:t>
      </w:r>
      <w:r w:rsidRPr="004376E0">
        <w:rPr>
          <w:szCs w:val="24"/>
        </w:rPr>
        <w:t xml:space="preserve"> га.</w:t>
      </w:r>
    </w:p>
    <w:p w14:paraId="6AFF6F7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Снятие плодородного слоя не предусматривается.</w:t>
      </w:r>
    </w:p>
    <w:p w14:paraId="6464EA5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технического этапа рекультивации включают в себя:</w:t>
      </w:r>
    </w:p>
    <w:p w14:paraId="0E7F2D6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уборка территории от строительного мусора;</w:t>
      </w:r>
    </w:p>
    <w:p w14:paraId="3FFC9BE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планировка строительной полосы бульдозером;</w:t>
      </w:r>
    </w:p>
    <w:p w14:paraId="58F6F46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Объёмы работ по проведению технического этапа рекультивации определены на основании схем строительной полосы и структуры почвенного покрова территории строительства.</w:t>
      </w:r>
    </w:p>
    <w:p w14:paraId="150B897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Ведомость объемов рекультивационных работ</w:t>
      </w:r>
    </w:p>
    <w:tbl>
      <w:tblPr>
        <w:tblW w:w="5000" w:type="pct"/>
        <w:tblLook w:val="04A0" w:firstRow="1" w:lastRow="0" w:firstColumn="1" w:lastColumn="0" w:noHBand="0" w:noVBand="1"/>
      </w:tblPr>
      <w:tblGrid>
        <w:gridCol w:w="6931"/>
        <w:gridCol w:w="1181"/>
        <w:gridCol w:w="1459"/>
      </w:tblGrid>
      <w:tr w:rsidR="001A58E8" w:rsidRPr="004376E0" w14:paraId="28F563AE" w14:textId="77777777" w:rsidTr="00217ACD">
        <w:trPr>
          <w:trHeight w:val="645"/>
        </w:trPr>
        <w:tc>
          <w:tcPr>
            <w:tcW w:w="3621" w:type="pct"/>
            <w:tcBorders>
              <w:top w:val="single" w:sz="8" w:space="0" w:color="auto"/>
              <w:left w:val="single" w:sz="8" w:space="0" w:color="auto"/>
              <w:bottom w:val="single" w:sz="8" w:space="0" w:color="auto"/>
              <w:right w:val="single" w:sz="8" w:space="0" w:color="auto"/>
            </w:tcBorders>
            <w:shd w:val="clear" w:color="auto" w:fill="auto"/>
            <w:vAlign w:val="bottom"/>
            <w:hideMark/>
          </w:tcPr>
          <w:p w14:paraId="76A62100" w14:textId="77777777" w:rsidR="001A58E8" w:rsidRPr="004376E0" w:rsidRDefault="001A58E8"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Наименование вида работ</w:t>
            </w:r>
          </w:p>
        </w:tc>
        <w:tc>
          <w:tcPr>
            <w:tcW w:w="617" w:type="pct"/>
            <w:tcBorders>
              <w:top w:val="single" w:sz="8" w:space="0" w:color="auto"/>
              <w:left w:val="nil"/>
              <w:bottom w:val="single" w:sz="8" w:space="0" w:color="auto"/>
              <w:right w:val="single" w:sz="8" w:space="0" w:color="auto"/>
            </w:tcBorders>
            <w:shd w:val="clear" w:color="auto" w:fill="auto"/>
            <w:vAlign w:val="bottom"/>
            <w:hideMark/>
          </w:tcPr>
          <w:p w14:paraId="5E4CFDBA" w14:textId="77777777" w:rsidR="001A58E8" w:rsidRPr="004376E0" w:rsidRDefault="001A58E8"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Единица измерен.</w:t>
            </w:r>
          </w:p>
        </w:tc>
        <w:tc>
          <w:tcPr>
            <w:tcW w:w="762" w:type="pct"/>
            <w:tcBorders>
              <w:top w:val="single" w:sz="8" w:space="0" w:color="auto"/>
              <w:left w:val="nil"/>
              <w:bottom w:val="single" w:sz="8" w:space="0" w:color="auto"/>
              <w:right w:val="single" w:sz="8" w:space="0" w:color="auto"/>
            </w:tcBorders>
            <w:shd w:val="clear" w:color="auto" w:fill="auto"/>
            <w:vAlign w:val="bottom"/>
            <w:hideMark/>
          </w:tcPr>
          <w:p w14:paraId="4AAEA4CF" w14:textId="77777777" w:rsidR="001A58E8" w:rsidRPr="004376E0" w:rsidRDefault="001A58E8"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Количество</w:t>
            </w:r>
          </w:p>
        </w:tc>
      </w:tr>
      <w:tr w:rsidR="001A58E8" w:rsidRPr="004376E0" w14:paraId="6C8D7623" w14:textId="77777777" w:rsidTr="00217ACD">
        <w:trPr>
          <w:trHeight w:val="31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68FDD2D0" w14:textId="77777777" w:rsidR="001A58E8" w:rsidRPr="004376E0" w:rsidRDefault="001A58E8" w:rsidP="001A58E8">
            <w:pPr>
              <w:spacing w:after="0" w:line="360" w:lineRule="auto"/>
              <w:jc w:val="center"/>
              <w:rPr>
                <w:rFonts w:ascii="Times New Roman" w:hAnsi="Times New Roman" w:cs="Times New Roman"/>
                <w:b/>
                <w:bCs/>
                <w:sz w:val="20"/>
                <w:szCs w:val="20"/>
              </w:rPr>
            </w:pPr>
            <w:r w:rsidRPr="004376E0">
              <w:rPr>
                <w:rFonts w:ascii="Times New Roman" w:hAnsi="Times New Roman" w:cs="Times New Roman"/>
                <w:b/>
                <w:bCs/>
                <w:sz w:val="20"/>
                <w:szCs w:val="20"/>
              </w:rPr>
              <w:t>Техническая рекультивация</w:t>
            </w:r>
          </w:p>
        </w:tc>
      </w:tr>
      <w:tr w:rsidR="001A58E8" w:rsidRPr="004376E0" w14:paraId="341DEE73" w14:textId="77777777" w:rsidTr="00217ACD">
        <w:trPr>
          <w:trHeight w:val="315"/>
        </w:trPr>
        <w:tc>
          <w:tcPr>
            <w:tcW w:w="3621" w:type="pct"/>
            <w:tcBorders>
              <w:top w:val="nil"/>
              <w:left w:val="single" w:sz="8" w:space="0" w:color="auto"/>
              <w:bottom w:val="single" w:sz="8" w:space="0" w:color="auto"/>
              <w:right w:val="single" w:sz="8" w:space="0" w:color="auto"/>
            </w:tcBorders>
            <w:shd w:val="clear" w:color="auto" w:fill="auto"/>
            <w:vAlign w:val="bottom"/>
            <w:hideMark/>
          </w:tcPr>
          <w:p w14:paraId="09FA113B" w14:textId="77777777" w:rsidR="001A58E8" w:rsidRPr="004376E0" w:rsidRDefault="001A58E8" w:rsidP="001A58E8">
            <w:pPr>
              <w:spacing w:after="0" w:line="360" w:lineRule="auto"/>
              <w:rPr>
                <w:rFonts w:ascii="Times New Roman" w:hAnsi="Times New Roman" w:cs="Times New Roman"/>
                <w:sz w:val="20"/>
                <w:szCs w:val="20"/>
              </w:rPr>
            </w:pPr>
            <w:r w:rsidRPr="004376E0">
              <w:rPr>
                <w:rFonts w:ascii="Times New Roman" w:hAnsi="Times New Roman" w:cs="Times New Roman"/>
                <w:sz w:val="20"/>
                <w:szCs w:val="20"/>
              </w:rPr>
              <w:t>1. Уборка территории от строительного мусора</w:t>
            </w:r>
          </w:p>
        </w:tc>
        <w:tc>
          <w:tcPr>
            <w:tcW w:w="617" w:type="pct"/>
            <w:tcBorders>
              <w:top w:val="nil"/>
              <w:left w:val="nil"/>
              <w:bottom w:val="single" w:sz="8" w:space="0" w:color="auto"/>
              <w:right w:val="single" w:sz="8" w:space="0" w:color="auto"/>
            </w:tcBorders>
            <w:shd w:val="clear" w:color="auto" w:fill="auto"/>
            <w:vAlign w:val="bottom"/>
            <w:hideMark/>
          </w:tcPr>
          <w:p w14:paraId="5973C94B" w14:textId="77777777" w:rsidR="001A58E8" w:rsidRPr="004376E0" w:rsidRDefault="001A58E8"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м²</w:t>
            </w:r>
          </w:p>
        </w:tc>
        <w:tc>
          <w:tcPr>
            <w:tcW w:w="762" w:type="pct"/>
            <w:tcBorders>
              <w:top w:val="nil"/>
              <w:left w:val="nil"/>
              <w:bottom w:val="single" w:sz="8" w:space="0" w:color="auto"/>
              <w:right w:val="single" w:sz="8" w:space="0" w:color="auto"/>
            </w:tcBorders>
            <w:shd w:val="clear" w:color="auto" w:fill="auto"/>
            <w:vAlign w:val="bottom"/>
            <w:hideMark/>
          </w:tcPr>
          <w:p w14:paraId="49FE1950" w14:textId="77777777" w:rsidR="001A58E8" w:rsidRPr="004376E0" w:rsidRDefault="003A2584"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130298</w:t>
            </w:r>
          </w:p>
        </w:tc>
      </w:tr>
      <w:tr w:rsidR="001A58E8" w:rsidRPr="004376E0" w14:paraId="306B51B5" w14:textId="77777777" w:rsidTr="00217ACD">
        <w:trPr>
          <w:trHeight w:val="645"/>
        </w:trPr>
        <w:tc>
          <w:tcPr>
            <w:tcW w:w="3621" w:type="pct"/>
            <w:tcBorders>
              <w:top w:val="nil"/>
              <w:left w:val="single" w:sz="8" w:space="0" w:color="auto"/>
              <w:bottom w:val="single" w:sz="8" w:space="0" w:color="auto"/>
              <w:right w:val="single" w:sz="8" w:space="0" w:color="auto"/>
            </w:tcBorders>
            <w:shd w:val="clear" w:color="auto" w:fill="auto"/>
            <w:vAlign w:val="bottom"/>
            <w:hideMark/>
          </w:tcPr>
          <w:p w14:paraId="7B518A30" w14:textId="77777777" w:rsidR="001A58E8" w:rsidRPr="004376E0" w:rsidRDefault="001A58E8" w:rsidP="001A58E8">
            <w:pPr>
              <w:spacing w:after="0" w:line="360" w:lineRule="auto"/>
              <w:rPr>
                <w:rFonts w:ascii="Times New Roman" w:hAnsi="Times New Roman" w:cs="Times New Roman"/>
                <w:sz w:val="20"/>
                <w:szCs w:val="20"/>
              </w:rPr>
            </w:pPr>
            <w:r w:rsidRPr="004376E0">
              <w:rPr>
                <w:rFonts w:ascii="Times New Roman" w:hAnsi="Times New Roman" w:cs="Times New Roman"/>
                <w:sz w:val="20"/>
                <w:szCs w:val="20"/>
              </w:rPr>
              <w:t>2. Планировка строительной полосы бульдозером мощностью 118 кВт после окончания работ</w:t>
            </w:r>
          </w:p>
        </w:tc>
        <w:tc>
          <w:tcPr>
            <w:tcW w:w="617" w:type="pct"/>
            <w:tcBorders>
              <w:top w:val="nil"/>
              <w:left w:val="nil"/>
              <w:bottom w:val="single" w:sz="8" w:space="0" w:color="auto"/>
              <w:right w:val="single" w:sz="8" w:space="0" w:color="auto"/>
            </w:tcBorders>
            <w:shd w:val="clear" w:color="auto" w:fill="auto"/>
            <w:vAlign w:val="bottom"/>
            <w:hideMark/>
          </w:tcPr>
          <w:p w14:paraId="022F6088" w14:textId="77777777" w:rsidR="001A58E8" w:rsidRPr="004376E0" w:rsidRDefault="001A58E8"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м²</w:t>
            </w:r>
          </w:p>
        </w:tc>
        <w:tc>
          <w:tcPr>
            <w:tcW w:w="762" w:type="pct"/>
            <w:tcBorders>
              <w:top w:val="nil"/>
              <w:left w:val="nil"/>
              <w:bottom w:val="single" w:sz="8" w:space="0" w:color="auto"/>
              <w:right w:val="single" w:sz="8" w:space="0" w:color="auto"/>
            </w:tcBorders>
            <w:shd w:val="clear" w:color="auto" w:fill="auto"/>
            <w:vAlign w:val="bottom"/>
            <w:hideMark/>
          </w:tcPr>
          <w:p w14:paraId="6E96F614" w14:textId="77777777" w:rsidR="001A58E8" w:rsidRPr="004376E0" w:rsidRDefault="003A2584" w:rsidP="001A58E8">
            <w:pPr>
              <w:spacing w:after="0" w:line="360" w:lineRule="auto"/>
              <w:jc w:val="center"/>
              <w:rPr>
                <w:rFonts w:ascii="Times New Roman" w:hAnsi="Times New Roman" w:cs="Times New Roman"/>
                <w:sz w:val="20"/>
                <w:szCs w:val="20"/>
              </w:rPr>
            </w:pPr>
            <w:r w:rsidRPr="004376E0">
              <w:rPr>
                <w:rFonts w:ascii="Times New Roman" w:hAnsi="Times New Roman" w:cs="Times New Roman"/>
                <w:sz w:val="20"/>
                <w:szCs w:val="20"/>
              </w:rPr>
              <w:t>130298</w:t>
            </w:r>
          </w:p>
        </w:tc>
      </w:tr>
    </w:tbl>
    <w:p w14:paraId="202A61A6" w14:textId="77777777" w:rsidR="001A58E8" w:rsidRPr="004376E0" w:rsidRDefault="001A58E8" w:rsidP="001A58E8">
      <w:pPr>
        <w:autoSpaceDE w:val="0"/>
        <w:autoSpaceDN w:val="0"/>
        <w:adjustRightInd w:val="0"/>
        <w:spacing w:after="0" w:line="360" w:lineRule="auto"/>
        <w:ind w:left="-142" w:firstLine="568"/>
        <w:jc w:val="both"/>
        <w:rPr>
          <w:sz w:val="20"/>
          <w:szCs w:val="20"/>
        </w:rPr>
      </w:pPr>
    </w:p>
    <w:p w14:paraId="14F0EF6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По окончанию работ </w:t>
      </w:r>
      <w:r w:rsidR="003A2584" w:rsidRPr="004376E0">
        <w:rPr>
          <w:szCs w:val="24"/>
        </w:rPr>
        <w:t xml:space="preserve"> </w:t>
      </w:r>
      <w:r w:rsidRPr="004376E0">
        <w:rPr>
          <w:szCs w:val="24"/>
        </w:rPr>
        <w:t>проводится уборка и вывозка строительного мусора, обрезков труб, выборочное удаление грунта в местах непредвиденного его загрязнения веществами, ухудшающими плодородие почвы.</w:t>
      </w:r>
    </w:p>
    <w:p w14:paraId="7A1E056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Приведение земельных участков в пригодное состояние производится после окончания строительно-монтажных работ в течение времени, на которое предоставлены земельные участки, исключая периоды промерзания почвы.</w:t>
      </w:r>
    </w:p>
    <w:p w14:paraId="6CC34F2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Работы технического этапа рекультивации проводятся силами организации подрядчика.</w:t>
      </w:r>
    </w:p>
    <w:p w14:paraId="1BC1B29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В случае возникновения провалов, просадок, оползней, развития процессов, ухудшающих состояние почвы (заболачивание и т.п.) по вине организации - подрядчика, выполняющей работы технического этапа рекультивации, устранение недостатков осуществляется силами и за счёт средств этой организации.</w:t>
      </w:r>
    </w:p>
    <w:p w14:paraId="70ED0FB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сбору, использованию, обезвреживанию, транспортировке и размещению опасных отходов</w:t>
      </w:r>
    </w:p>
    <w:p w14:paraId="5180B68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Проектом предусмотрены надлежащие обеспечивающие охрану окружающей среды меры по обращению с отходами: осуществляется раздельный сбор образующихся отходов по их видам и классам опасности с тем, чтобы обеспечить их использование в качестве вторичного сырья, переработку и последующее размещение; обеспечиваются условия, при которых отходы не оказывают отрицательного воздействия на состояние окружающей среды и здоровье людей при временном накоплении отходов на площадке.</w:t>
      </w:r>
    </w:p>
    <w:p w14:paraId="51E7F56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Отходы, образованные при строительно-монтажных работах, собираются в контейнеры оборудованных крышками и ручками, обеспечивающими удобство при погрузочно-разгрузочных работах, и вывозится на утилизацию специализированным предприятиям.</w:t>
      </w:r>
    </w:p>
    <w:p w14:paraId="4ABE0A0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Для снижения воздействия на окружающую среду отходов, образующихся при строительстве и эксплуатации реконструируемого объекта, предлагается ряд организационно-технических мероприятий: </w:t>
      </w:r>
    </w:p>
    <w:p w14:paraId="7794267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назначение приказом лиц, ответственных за производственный контроль в области обращения с отходами; </w:t>
      </w:r>
    </w:p>
    <w:p w14:paraId="0995186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разработка соответствующих должностных инструкций; </w:t>
      </w:r>
    </w:p>
    <w:p w14:paraId="37D5C11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обучение персонала в соответствии с утвержденными учебными программами; </w:t>
      </w:r>
    </w:p>
    <w:p w14:paraId="1E5E815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регулярное проведение инструктажа с лицами, ответственными за производственный контроль в области обращения с отходами, по соблюдению требований законодательства Российской Федерации в области обращения с отходами производства и потребления, технике безопасности при обращении с опасными отходами; </w:t>
      </w:r>
    </w:p>
    <w:p w14:paraId="2A95314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организация мест сбора, временного накопления и размещения отходов в соответствии с требованиями нормативных документов, санитарных требований и требований пожарной безопасности, а также соблюдение требований к содержанию мест сбора и размещения отходов; </w:t>
      </w:r>
    </w:p>
    <w:p w14:paraId="3890A452"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организация учета образующихся отходов; </w:t>
      </w:r>
    </w:p>
    <w:p w14:paraId="1FFCBFB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организация контроля в области обращения с опасными отходами; </w:t>
      </w:r>
    </w:p>
    <w:p w14:paraId="3E53DF3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разработка плана профилактических мероприятий по предотвращению аварийных ситуаций при обращении с отходами, </w:t>
      </w:r>
    </w:p>
    <w:p w14:paraId="32A6437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включая разработку соответствующей инструкции и определения состава аварийной команды, средств ликвидации последствий аварии, средств пожарной защиты и средств индивидуальной защиты; </w:t>
      </w:r>
    </w:p>
    <w:p w14:paraId="2F776FA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обеспечение своевременного внесения платы за негативное воздействие размещаемых на полигонах отходов; </w:t>
      </w:r>
    </w:p>
    <w:p w14:paraId="1402DBF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организация взаимодействия с органами охраны окружающей среды и санитарно-эпидемиологического надзора по всем вопросам безопасного обращения с отходами. </w:t>
      </w:r>
    </w:p>
    <w:p w14:paraId="4CBE6AF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При производстве работ должен вестись контроль над тем, чтобы на местах работ не оставались обрезки труб, тара, электроды, прочие материалы и отходы жизнедеятельности рабочих.</w:t>
      </w:r>
    </w:p>
    <w:p w14:paraId="4019D7A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С целью предупреждения аварийных ситуаций при обращении с отходами, на предприятии должен быть разработан «План мероприятий по ликвидации аварийных ситуаций при обращении с отходами», в котором должны быть отражены действия персонала в случае возникновения аварийной ситуации. Для исключения возникновения аварийных ситуаций, необходимо оборудовать все емкости для сбора пожароопасных и пылящих отходов крышками, исключить попадание открытого огня на площадки временного хранения отходов. Сыпучие отходы, хранящиеся навалом, должны быть накрыты или ограждены для предотвращения воздействия ветра (пыление, разнос), строительные площадки должны быть оборудованы первичными средствами пожаротушения, в соответствии с Правилами пожарной безопасности в Российской Федерации (утв. постановлением Правительства РФ № 390 от 25.04.2012 г.). </w:t>
      </w:r>
    </w:p>
    <w:p w14:paraId="3A72E04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Соблюдение всех вышеперечисленных условий способствует снижению вероятности загрязнения отходами окружающей среды, а, также, позволяет максимально ограничить воздействие отходов на окружающую среду. Негативное воздействие может возникнуть только при нарушении правил сбора, временного хранения, транспортировки и размещения отходов, а также при аварийных ситуациях. </w:t>
      </w:r>
    </w:p>
    <w:p w14:paraId="64140AD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охране растительного и животного мира </w:t>
      </w:r>
    </w:p>
    <w:p w14:paraId="6FF0D9A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охране растительного мира</w:t>
      </w:r>
    </w:p>
    <w:p w14:paraId="05D9FB8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Для минимизации воздействия на объекты растительного мира в период строительства должны быть предусмотрены следующие мероприятия: </w:t>
      </w:r>
    </w:p>
    <w:p w14:paraId="16938EF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 производство СМР строго в полосе отвода; </w:t>
      </w:r>
    </w:p>
    <w:p w14:paraId="35E0453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2) применение строительных машин и механизмов, имеющих минимально возможное удельное давление ходовой части на подстилающие грунты; </w:t>
      </w:r>
    </w:p>
    <w:p w14:paraId="77CB29C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3) заправка автотранспорта в строго отведенных местах, которые обеспечены емкостями для сбора отработанных ГСМ; </w:t>
      </w:r>
    </w:p>
    <w:p w14:paraId="480E0A3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4) оборудование стационарных механизмов поддонами, предотвращающими загрязнение почв ГСМ;</w:t>
      </w:r>
    </w:p>
    <w:p w14:paraId="5DA9A01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5) использование только исправной техники; </w:t>
      </w:r>
    </w:p>
    <w:p w14:paraId="4F6F653A"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6) выполнение работ в зимний период по промерзшей поверхности с целью сохранения мохово-растительного слоя в ненарушенном состоянии; </w:t>
      </w:r>
    </w:p>
    <w:p w14:paraId="7F8B37D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7) исключение передвижения автотранспортной и строительной техники, а также рабочего персонала вне зимних дорог; </w:t>
      </w:r>
    </w:p>
    <w:p w14:paraId="1AEAF24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10) применение материалов, не оказывающих вредного воздействия на флору; </w:t>
      </w:r>
    </w:p>
    <w:p w14:paraId="425E45B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11) благоустройство территории по окончании строительных работ. </w:t>
      </w:r>
    </w:p>
    <w:p w14:paraId="35A5843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Особое внимание при реконструкции следует уделять предупредительным противопожарным мероприятиям, а именно: </w:t>
      </w:r>
    </w:p>
    <w:p w14:paraId="29CD88F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 в наиболее пожароопасных участках (площадки для отдыха и курения) около дорог, следует вывешивать противопожарные аншлаги, объявления; </w:t>
      </w:r>
    </w:p>
    <w:p w14:paraId="4D0D6AC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2) проведение разъяснительной и воспитательной работы среди строителей и местного населения по сбережению лесов. </w:t>
      </w:r>
    </w:p>
    <w:p w14:paraId="16C5A9A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Поскольку при нормальной эксплуатации объекта воздействие на растительный мир практически отсутствует, в качестве основного мероприятия можно рекомендовать проведение регулярного контроля состояния флоры в зоне влияния проектируемого объекта. </w:t>
      </w:r>
    </w:p>
    <w:p w14:paraId="380A84A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Мероприятия по охране животного мира </w:t>
      </w:r>
    </w:p>
    <w:p w14:paraId="069090E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Для уменьшения возможного отрицательного антропогенного воздействия на животных и сохранения оптимальных условий их существования могут быть рекомендованы технологические, организационные и охранные мероприятия. </w:t>
      </w:r>
    </w:p>
    <w:p w14:paraId="7312CBC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Технологические мероприятия: </w:t>
      </w:r>
    </w:p>
    <w:p w14:paraId="3320421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 проведение строительных работ в зимний период; </w:t>
      </w:r>
    </w:p>
    <w:p w14:paraId="77938FF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2) размещение всех работающих механизмов в тепло-шумоизоляционных блок-боксах заводского изготовления; </w:t>
      </w:r>
    </w:p>
    <w:p w14:paraId="7306F85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3) установление поддонов под емкостями с химреагентами и ГСМ; </w:t>
      </w:r>
    </w:p>
    <w:p w14:paraId="6D729E3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4) проведение монтажа и демонтажа технических конструкций, профилактических работ вне периодов наибольшей уязвимости популяций птиц: массовых сезонных миграций (май – I декада июня, III декада августа – сентябрь), размножения, гнездования, выведения потомства и линьки (III декада мая – июль); </w:t>
      </w:r>
    </w:p>
    <w:p w14:paraId="612B7D4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5) укрытие нефтяных (иных загрязняющих веществ) разливов легкими гидрофобными материалами (опилки, моховый очес) в бесснежный период до времени их полной ликвидации; </w:t>
      </w:r>
    </w:p>
    <w:p w14:paraId="5C716DD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6) рекультивация нарушенных земель. </w:t>
      </w:r>
    </w:p>
    <w:p w14:paraId="068FF70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Организационные мероприятия: </w:t>
      </w:r>
    </w:p>
    <w:p w14:paraId="5C037452"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1) ознакомление персонала предприятий с экологическими требованиями при эксплуатации объектов; </w:t>
      </w:r>
    </w:p>
    <w:p w14:paraId="0B9245E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2) соблюдение персоналом предприятий установленных норм и правил природопользования; </w:t>
      </w:r>
    </w:p>
    <w:p w14:paraId="0590A02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3) запрещение охоты и рыболовства для персонала предприятий; </w:t>
      </w:r>
    </w:p>
    <w:p w14:paraId="185C23CD"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4) принятие административных мер для пресечения незаконного пользования животным миром, содержания домашних животных (включение специальных пунктов в контракты обслуживающего персонала, разработка специальных памяток, назначение ответственных лиц, осуществляющих необходимый контроль и т. п.). </w:t>
      </w:r>
    </w:p>
    <w:p w14:paraId="21D6351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Для предотвращения образования дополнительного ущерба водным биоресурсам необходимо соблюдать следующие рекомендации:</w:t>
      </w:r>
    </w:p>
    <w:p w14:paraId="31BF36A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все работы осуществлять в строгом соответствии с Проектом и действующими нормативами для рыбохозяйственных водоемов и водотоков с соблюдением сроков строительства, согласованных с органами рыбоохраны;</w:t>
      </w:r>
    </w:p>
    <w:p w14:paraId="0FA07E3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места складирования грунта и стройматериалов размещать в незатопляемой весенним паводком зоне с последующей рекультивацией поврежденного участка;</w:t>
      </w:r>
    </w:p>
    <w:p w14:paraId="1B16936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с целью обеспечения возможности свободного прохождения рыб к местам нереста и его успешного осуществления, все виды работ по Проекту в период нереста не проводить.</w:t>
      </w:r>
    </w:p>
    <w:p w14:paraId="4C223362"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охране объектов растительного и животного мира, занесенных в Красную книгу</w:t>
      </w:r>
    </w:p>
    <w:p w14:paraId="571A035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1) проведение строительно-монтажных работ вне периодов наибольшей уязвимости популяций птиц: массовых сезонных миграций (май – I декада июня, III декада августа – сентябрь), размножения, гнездования, выведения потомства и линьки (III декада мая – июль);</w:t>
      </w:r>
    </w:p>
    <w:p w14:paraId="1BFE875B"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2) ограничение выхода людей в тундру в период размножения, гнездования, выведения потомства и линьки птиц (III декада мая – июль);</w:t>
      </w:r>
    </w:p>
    <w:p w14:paraId="0E9B7FB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3) запрещение охоты и рыболовства для персонала предприятия;</w:t>
      </w:r>
    </w:p>
    <w:p w14:paraId="7E800252"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4) пропаганда охраны редких и охраняемых видов растительного и животного мира среди населения и рабочих строительной организации, выполняющей строительные работы;</w:t>
      </w:r>
    </w:p>
    <w:p w14:paraId="0FE5F861"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5) перед началом ведения работ проведение целевого инструктажа со всеми привлекаемыми работниками, включающего в себя описание представителей редких и исчезающих видов, описание характерных мест их обитания, действия работников в случае обнаружения представителей Красной Книги, их нор и гнездовий;</w:t>
      </w:r>
    </w:p>
    <w:p w14:paraId="04766CFF"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6) при засеве рекультивируемых земель учет требований к кормовой базе птиц, занесенных в Красную Книгу.</w:t>
      </w:r>
    </w:p>
    <w:p w14:paraId="4E40184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Локальный экологический мониторинг будет включать в себя, в том числе, мониторинг растительного и животного мира. В случае обнаружения представителей редких и исчезающих видов по результатам полевого обследования будут учтены рекомендации, выданные специалистами привлекаемой организации, в том числе и по организации мониторинга.</w:t>
      </w:r>
    </w:p>
    <w:p w14:paraId="0BEF302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Мероприятия по шуму</w:t>
      </w:r>
    </w:p>
    <w:p w14:paraId="72165CD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Источниками интенсивного шума являются машины и механизмы с неуравновешенными вращающимися массами. Шум определяют как звук, оцениваемый негативно и наносящий вред здоровью. </w:t>
      </w:r>
    </w:p>
    <w:p w14:paraId="5EF5ACA7"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Длительное воздействие интенсивного шума (свыше 80 дБ) на слух человека приводит к его частичной или полной потере.  В настоящее время так называемая «шумовая болезнь» характеризуется комплексом симптомов: снижение слуховой чувствительности, изменение функций пищеварения снижение кислотности, сердечнососудистая недостаточность, нейроэндокринные расстройства. </w:t>
      </w:r>
    </w:p>
    <w:p w14:paraId="11ED7430"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Работающие в условиях длительного шумового воздействия испытывают раздражительность, головные боли, повышенную утомляемость, понижение аппетита, боли в ушах и т.д. Под воздействием шума снижается концентрация внимания, нарушаются физиологические функции, появляется усталость в связи с повышенными энергозатратами и нервно-психическим напряжением, ухудшается речевая коммутация. </w:t>
      </w:r>
    </w:p>
    <w:p w14:paraId="5D8F100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Для защиты от шума разработана система государственных стандартов, которая состоит из нескольких групп: </w:t>
      </w:r>
    </w:p>
    <w:p w14:paraId="5466DE65"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первая группа относится к нормам допустимого шума; </w:t>
      </w:r>
    </w:p>
    <w:p w14:paraId="096E9A38"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вторая групп содержит методы измерения шума на рабочих местах и в производственных помещениях; </w:t>
      </w:r>
    </w:p>
    <w:p w14:paraId="731EFB6E"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третья группа устанавливает порядок определения шумовых характеристик машин; -  четвертая группа устанавливает оценки эффективности тех или иных шумоглушащих конструкций и устройств; </w:t>
      </w:r>
    </w:p>
    <w:p w14:paraId="06A0A7CC"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  пятая группа стандартов устанавливает классификацию и определяет требования, предъявляемые к шумоглушащим конструкция и устройствам. </w:t>
      </w:r>
    </w:p>
    <w:p w14:paraId="5C51E1E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Целью нормирования шумовых характеристик рабочих мест (санитарного  нормирования шума)  является  установление  научно  обоснованных  предельно  допустимых  величин  шума, которые при ежедневном систематическом воздействии в течении всего рабочего дня и в течении многих  лет  не  вызывают  существенных  заболеваний  организма  человека  и  не  мешают  его нормальной трудовой деятельности. </w:t>
      </w:r>
    </w:p>
    <w:p w14:paraId="4C541583"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Методы борьбы с шумом </w:t>
      </w:r>
    </w:p>
    <w:p w14:paraId="50CA1E14"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Разработка мер борьбы с вредным действием шумов должна начинаться на  стадии проектирования техпроцессов и машин, разработки конструктивных и объемно-планировочных решений производственных помещений и генерального плана предприятия. </w:t>
      </w:r>
    </w:p>
    <w:p w14:paraId="74F0B6C9"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 xml:space="preserve">Следует выбирать машины и механизмы с минимальными динамическими  нагрузками, производить правильную эксплуатацию, своевременный  профилактический  ремонт  и качественный монтаж оборудования. </w:t>
      </w:r>
    </w:p>
    <w:p w14:paraId="51A12ED6" w14:textId="77777777" w:rsidR="001A58E8" w:rsidRPr="004376E0" w:rsidRDefault="001A58E8" w:rsidP="001A58E8">
      <w:pPr>
        <w:pStyle w:val="ab"/>
        <w:tabs>
          <w:tab w:val="left" w:pos="9781"/>
          <w:tab w:val="left" w:pos="9923"/>
        </w:tabs>
        <w:spacing w:after="0" w:line="360" w:lineRule="auto"/>
        <w:ind w:firstLine="709"/>
        <w:jc w:val="both"/>
        <w:rPr>
          <w:szCs w:val="24"/>
        </w:rPr>
      </w:pPr>
      <w:r w:rsidRPr="004376E0">
        <w:rPr>
          <w:szCs w:val="24"/>
        </w:rPr>
        <w:t>Наиболее перспективным направлением снижения шума является создание  малошумных машин, оборудования и средств транспорта. Поэтому, техническое нормирование шума машин – ограничение шумовых характеристик машин  непосредственно  как  источников  шума – имеет первостепенное решение. Там, где не  удается добиться снижения шума до допустимых уровней техническими средствами  или это нецелесообразно по технико-экономическим  показателям, следует применять средства индивидуальной защиты от шума.</w:t>
      </w:r>
    </w:p>
    <w:p w14:paraId="2F8E9E49" w14:textId="77777777" w:rsidR="003A2584" w:rsidRPr="004376E0" w:rsidRDefault="003A2584" w:rsidP="001A58E8">
      <w:pPr>
        <w:pStyle w:val="ab"/>
        <w:tabs>
          <w:tab w:val="left" w:pos="9781"/>
          <w:tab w:val="left" w:pos="9923"/>
        </w:tabs>
        <w:spacing w:after="0" w:line="360" w:lineRule="auto"/>
        <w:ind w:firstLine="709"/>
        <w:jc w:val="both"/>
        <w:rPr>
          <w:szCs w:val="24"/>
        </w:rPr>
      </w:pPr>
    </w:p>
    <w:p w14:paraId="0D5B287F" w14:textId="77777777" w:rsidR="003E64C5" w:rsidRPr="004376E0" w:rsidRDefault="00217ACD" w:rsidP="001A58E8">
      <w:pPr>
        <w:pStyle w:val="ab"/>
        <w:tabs>
          <w:tab w:val="left" w:pos="9781"/>
          <w:tab w:val="left" w:pos="9923"/>
        </w:tabs>
        <w:spacing w:after="0" w:line="360" w:lineRule="auto"/>
        <w:jc w:val="both"/>
      </w:pPr>
      <w:r w:rsidRPr="004376E0">
        <w:t>2.9 Информация о необходимости осуществлении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7D2D38AB"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Проектируемый объект не категорируется по гражданской обороне и расположен на территории не отнесенной к группе по ГО.</w:t>
      </w:r>
    </w:p>
    <w:p w14:paraId="4AE40297"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Проектируемые объекты электроснабжения (ВЛ-10 кВ) не являются опасными производственными объектами.</w:t>
      </w:r>
    </w:p>
    <w:p w14:paraId="2844281C"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К внешним воздействиям природного и техногенного характера можно отнести:</w:t>
      </w:r>
    </w:p>
    <w:p w14:paraId="59C37810"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разряды от статического электричества;</w:t>
      </w:r>
    </w:p>
    <w:p w14:paraId="3AE1D900"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грозовые разряды;</w:t>
      </w:r>
    </w:p>
    <w:p w14:paraId="054EB104"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снежные заносы;</w:t>
      </w:r>
    </w:p>
    <w:p w14:paraId="36E99C07"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изменение температуры воздуха;</w:t>
      </w:r>
    </w:p>
    <w:p w14:paraId="3B138D83"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спланированная диверсия;</w:t>
      </w:r>
    </w:p>
    <w:p w14:paraId="7828B3AD"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Все эти факторы могут стать причиной повреждения проектируемых объектов и травмирования людей в случае их нахождения в непосредственной близости от объекта.</w:t>
      </w:r>
    </w:p>
    <w:p w14:paraId="4C81F2ED"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Мониторинг опасных природных процессов осуществляется центром по гидрометеорологии и мониторингу окружающей среды Ханты-Мансийского автономного округа.</w:t>
      </w:r>
    </w:p>
    <w:p w14:paraId="30514A56"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Оповещение об опасных природных явлениях и передачу информации о ЧС природного характера предполагается получать через оперативного дежурного ГУ МЧС РФ по делам ГО и ЧС ХМАО.</w:t>
      </w:r>
    </w:p>
    <w:p w14:paraId="399D8FB9"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В случае ЧС природного или техногенного характера эвакуация персонала с территории объекта осуществляется автотранспортом по существующим дорогам и вдольтрассовым проездам.</w:t>
      </w:r>
    </w:p>
    <w:p w14:paraId="6C9F74CF"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xml:space="preserve">Проектируемые объекты расположены вне зоны радиоактивного заражения, вне зоны катастрофического затопления, вне зоны химического заражения, вне зоны возможных сильных разрушений. </w:t>
      </w:r>
    </w:p>
    <w:p w14:paraId="3C5129C7" w14:textId="77777777" w:rsidR="00217ACD" w:rsidRPr="004376E0" w:rsidRDefault="00217ACD" w:rsidP="00217ACD">
      <w:pPr>
        <w:pStyle w:val="ab"/>
        <w:tabs>
          <w:tab w:val="left" w:pos="9781"/>
          <w:tab w:val="left" w:pos="9923"/>
        </w:tabs>
        <w:spacing w:after="0" w:line="360" w:lineRule="auto"/>
        <w:ind w:firstLine="709"/>
        <w:jc w:val="both"/>
        <w:rPr>
          <w:szCs w:val="24"/>
        </w:rPr>
      </w:pPr>
      <w:r w:rsidRPr="004376E0">
        <w:rPr>
          <w:szCs w:val="24"/>
        </w:rPr>
        <w:t xml:space="preserve">Проектируемый объект не является химически опасным и радиационно-опасным объектом. Проектными решениями не предусматривается проведение мониторинга на территории расположения проектируемых объектов. </w:t>
      </w:r>
    </w:p>
    <w:p w14:paraId="10BC8572" w14:textId="77777777" w:rsidR="00217ACD" w:rsidRPr="00217ACD" w:rsidRDefault="00217ACD" w:rsidP="00217ACD">
      <w:pPr>
        <w:pStyle w:val="ab"/>
        <w:tabs>
          <w:tab w:val="left" w:pos="9781"/>
          <w:tab w:val="left" w:pos="9923"/>
        </w:tabs>
        <w:spacing w:after="0" w:line="360" w:lineRule="auto"/>
        <w:ind w:firstLine="709"/>
        <w:jc w:val="both"/>
        <w:rPr>
          <w:szCs w:val="24"/>
        </w:rPr>
      </w:pPr>
      <w:r w:rsidRPr="004376E0">
        <w:rPr>
          <w:szCs w:val="24"/>
        </w:rPr>
        <w:t>Проектируемый объект не имеет в своем составе материальных ценностей, которые необходимо эвакуировать в безопасные районы. Поэтому таких мероприятий не требуется. Перемещение объекта в военное время не предусматривается.</w:t>
      </w:r>
    </w:p>
    <w:p w14:paraId="2B582B33" w14:textId="77777777" w:rsidR="00217ACD" w:rsidRPr="001A58E8" w:rsidRDefault="00217ACD" w:rsidP="00217ACD">
      <w:pPr>
        <w:pStyle w:val="ab"/>
        <w:tabs>
          <w:tab w:val="left" w:pos="9781"/>
          <w:tab w:val="left" w:pos="9923"/>
        </w:tabs>
        <w:spacing w:after="0" w:line="360" w:lineRule="auto"/>
        <w:ind w:firstLine="709"/>
        <w:jc w:val="both"/>
        <w:rPr>
          <w:b/>
          <w:szCs w:val="24"/>
        </w:rPr>
      </w:pPr>
    </w:p>
    <w:sectPr w:rsidR="00217ACD" w:rsidRPr="001A58E8" w:rsidSect="00A045F1">
      <w:type w:val="continuous"/>
      <w:pgSz w:w="11906" w:h="16838"/>
      <w:pgMar w:top="1134" w:right="850" w:bottom="1134" w:left="1701" w:header="708" w:footer="708" w:gutter="0"/>
      <w:cols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53A80" w14:textId="77777777" w:rsidR="004376E0" w:rsidRDefault="004376E0" w:rsidP="008262FF">
      <w:pPr>
        <w:spacing w:after="0" w:line="240" w:lineRule="auto"/>
      </w:pPr>
      <w:r>
        <w:separator/>
      </w:r>
    </w:p>
  </w:endnote>
  <w:endnote w:type="continuationSeparator" w:id="0">
    <w:p w14:paraId="4F2692C4" w14:textId="77777777" w:rsidR="004376E0" w:rsidRDefault="004376E0" w:rsidP="00826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B9525" w14:textId="77777777" w:rsidR="004376E0" w:rsidRDefault="004376E0" w:rsidP="008262FF">
      <w:pPr>
        <w:spacing w:after="0" w:line="240" w:lineRule="auto"/>
      </w:pPr>
      <w:r>
        <w:separator/>
      </w:r>
    </w:p>
  </w:footnote>
  <w:footnote w:type="continuationSeparator" w:id="0">
    <w:p w14:paraId="0F507EE6" w14:textId="77777777" w:rsidR="004376E0" w:rsidRDefault="004376E0" w:rsidP="008262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22EF"/>
    <w:multiLevelType w:val="hybridMultilevel"/>
    <w:tmpl w:val="2B7CC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783ADA"/>
    <w:multiLevelType w:val="multilevel"/>
    <w:tmpl w:val="49103790"/>
    <w:lvl w:ilvl="0">
      <w:start w:val="1"/>
      <w:numFmt w:val="decimal"/>
      <w:suff w:val="space"/>
      <w:lvlText w:val="%1."/>
      <w:lvlJc w:val="left"/>
      <w:pPr>
        <w:ind w:left="875" w:hanging="450"/>
      </w:pPr>
      <w:rPr>
        <w:rFonts w:hint="default"/>
        <w:b/>
      </w:rPr>
    </w:lvl>
    <w:lvl w:ilvl="1">
      <w:start w:val="1"/>
      <w:numFmt w:val="decimal"/>
      <w:suff w:val="space"/>
      <w:lvlText w:val="%1.%2."/>
      <w:lvlJc w:val="left"/>
      <w:pPr>
        <w:ind w:left="3839" w:hanging="720"/>
      </w:pPr>
      <w:rPr>
        <w:rFonts w:hint="default"/>
        <w:b/>
        <w:color w:val="auto"/>
      </w:rPr>
    </w:lvl>
    <w:lvl w:ilvl="2">
      <w:start w:val="1"/>
      <w:numFmt w:val="decimal"/>
      <w:lvlText w:val="%1.%2.%3."/>
      <w:lvlJc w:val="left"/>
      <w:pPr>
        <w:ind w:left="2500" w:hanging="720"/>
      </w:pPr>
      <w:rPr>
        <w:rFonts w:hint="default"/>
      </w:rPr>
    </w:lvl>
    <w:lvl w:ilvl="3">
      <w:start w:val="1"/>
      <w:numFmt w:val="decimal"/>
      <w:lvlText w:val="%1.%2.%3.%4."/>
      <w:lvlJc w:val="left"/>
      <w:pPr>
        <w:ind w:left="3750" w:hanging="1080"/>
      </w:pPr>
      <w:rPr>
        <w:rFonts w:hint="default"/>
      </w:rPr>
    </w:lvl>
    <w:lvl w:ilvl="4">
      <w:start w:val="1"/>
      <w:numFmt w:val="decimal"/>
      <w:lvlText w:val="%1.%2.%3.%4.%5."/>
      <w:lvlJc w:val="left"/>
      <w:pPr>
        <w:ind w:left="4640" w:hanging="1080"/>
      </w:pPr>
      <w:rPr>
        <w:rFonts w:hint="default"/>
      </w:rPr>
    </w:lvl>
    <w:lvl w:ilvl="5">
      <w:start w:val="1"/>
      <w:numFmt w:val="decimal"/>
      <w:lvlText w:val="%1.%2.%3.%4.%5.%6."/>
      <w:lvlJc w:val="left"/>
      <w:pPr>
        <w:ind w:left="5890" w:hanging="1440"/>
      </w:pPr>
      <w:rPr>
        <w:rFonts w:hint="default"/>
      </w:rPr>
    </w:lvl>
    <w:lvl w:ilvl="6">
      <w:start w:val="1"/>
      <w:numFmt w:val="decimal"/>
      <w:lvlText w:val="%1.%2.%3.%4.%5.%6.%7."/>
      <w:lvlJc w:val="left"/>
      <w:pPr>
        <w:ind w:left="6780" w:hanging="1440"/>
      </w:pPr>
      <w:rPr>
        <w:rFonts w:hint="default"/>
      </w:rPr>
    </w:lvl>
    <w:lvl w:ilvl="7">
      <w:start w:val="1"/>
      <w:numFmt w:val="decimal"/>
      <w:lvlText w:val="%1.%2.%3.%4.%5.%6.%7.%8."/>
      <w:lvlJc w:val="left"/>
      <w:pPr>
        <w:ind w:left="8030" w:hanging="1800"/>
      </w:pPr>
      <w:rPr>
        <w:rFonts w:hint="default"/>
      </w:rPr>
    </w:lvl>
    <w:lvl w:ilvl="8">
      <w:start w:val="1"/>
      <w:numFmt w:val="decimal"/>
      <w:lvlText w:val="%1.%2.%3.%4.%5.%6.%7.%8.%9."/>
      <w:lvlJc w:val="left"/>
      <w:pPr>
        <w:ind w:left="9280" w:hanging="2160"/>
      </w:pPr>
      <w:rPr>
        <w:rFonts w:hint="default"/>
      </w:rPr>
    </w:lvl>
  </w:abstractNum>
  <w:abstractNum w:abstractNumId="2">
    <w:nsid w:val="1AF0233F"/>
    <w:multiLevelType w:val="multilevel"/>
    <w:tmpl w:val="99F4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0877AC4"/>
    <w:multiLevelType w:val="multilevel"/>
    <w:tmpl w:val="62E08DD8"/>
    <w:lvl w:ilvl="0">
      <w:start w:val="1"/>
      <w:numFmt w:val="decimal"/>
      <w:pStyle w:val="1"/>
      <w:lvlText w:val="%1."/>
      <w:lvlJc w:val="left"/>
      <w:pPr>
        <w:tabs>
          <w:tab w:val="num" w:pos="858"/>
        </w:tabs>
        <w:ind w:left="858" w:hanging="432"/>
      </w:pPr>
      <w:rPr>
        <w:rFonts w:hint="default"/>
        <w:sz w:val="24"/>
        <w:szCs w:val="24"/>
      </w:rPr>
    </w:lvl>
    <w:lvl w:ilvl="1">
      <w:start w:val="1"/>
      <w:numFmt w:val="decimal"/>
      <w:pStyle w:val="2"/>
      <w:lvlText w:val="%1.%2"/>
      <w:lvlJc w:val="left"/>
      <w:pPr>
        <w:tabs>
          <w:tab w:val="num" w:pos="1428"/>
        </w:tabs>
        <w:ind w:left="1428" w:hanging="576"/>
      </w:pPr>
      <w:rPr>
        <w:rFonts w:hint="default"/>
      </w:rPr>
    </w:lvl>
    <w:lvl w:ilvl="2">
      <w:start w:val="1"/>
      <w:numFmt w:val="decimal"/>
      <w:pStyle w:val="3"/>
      <w:lvlText w:val="%1.%2.%3"/>
      <w:lvlJc w:val="left"/>
      <w:pPr>
        <w:tabs>
          <w:tab w:val="num" w:pos="1287"/>
        </w:tabs>
        <w:ind w:left="1287" w:hanging="720"/>
      </w:pPr>
      <w:rPr>
        <w:rFonts w:hint="default"/>
        <w:b/>
        <w:i w:val="0"/>
        <w:sz w:val="22"/>
        <w:szCs w:val="20"/>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
    <w:nsid w:val="505C188A"/>
    <w:multiLevelType w:val="hybridMultilevel"/>
    <w:tmpl w:val="E16EBA44"/>
    <w:lvl w:ilvl="0" w:tplc="28D038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D0F"/>
    <w:rsid w:val="00035521"/>
    <w:rsid w:val="00055A2B"/>
    <w:rsid w:val="000B22E6"/>
    <w:rsid w:val="000E1E17"/>
    <w:rsid w:val="000E771C"/>
    <w:rsid w:val="000F0056"/>
    <w:rsid w:val="000F45D8"/>
    <w:rsid w:val="001119C7"/>
    <w:rsid w:val="00127AF8"/>
    <w:rsid w:val="00140443"/>
    <w:rsid w:val="001A58E8"/>
    <w:rsid w:val="00202DF9"/>
    <w:rsid w:val="0020471C"/>
    <w:rsid w:val="00217ACD"/>
    <w:rsid w:val="002F1F6D"/>
    <w:rsid w:val="003370C5"/>
    <w:rsid w:val="003707BB"/>
    <w:rsid w:val="00387FE7"/>
    <w:rsid w:val="003A2584"/>
    <w:rsid w:val="003B7DF1"/>
    <w:rsid w:val="003D4D05"/>
    <w:rsid w:val="003D6D0F"/>
    <w:rsid w:val="003E22D0"/>
    <w:rsid w:val="003E254B"/>
    <w:rsid w:val="003E64C5"/>
    <w:rsid w:val="004376E0"/>
    <w:rsid w:val="004D5A6D"/>
    <w:rsid w:val="00501886"/>
    <w:rsid w:val="0050616B"/>
    <w:rsid w:val="005439E4"/>
    <w:rsid w:val="005764FE"/>
    <w:rsid w:val="00594D58"/>
    <w:rsid w:val="005A6D01"/>
    <w:rsid w:val="005B0B84"/>
    <w:rsid w:val="005F37A0"/>
    <w:rsid w:val="00612525"/>
    <w:rsid w:val="00614C0A"/>
    <w:rsid w:val="00641F76"/>
    <w:rsid w:val="006C1217"/>
    <w:rsid w:val="0075236C"/>
    <w:rsid w:val="007D4516"/>
    <w:rsid w:val="007E66AF"/>
    <w:rsid w:val="008262FF"/>
    <w:rsid w:val="008533E1"/>
    <w:rsid w:val="0087799A"/>
    <w:rsid w:val="0090372A"/>
    <w:rsid w:val="0094074C"/>
    <w:rsid w:val="00940DC9"/>
    <w:rsid w:val="00A045F1"/>
    <w:rsid w:val="00A060DE"/>
    <w:rsid w:val="00A57F22"/>
    <w:rsid w:val="00B6324C"/>
    <w:rsid w:val="00B65B3C"/>
    <w:rsid w:val="00BB7266"/>
    <w:rsid w:val="00CD33E9"/>
    <w:rsid w:val="00CF05D7"/>
    <w:rsid w:val="00D20814"/>
    <w:rsid w:val="00D24EA3"/>
    <w:rsid w:val="00D85CBB"/>
    <w:rsid w:val="00DB290B"/>
    <w:rsid w:val="00DE5054"/>
    <w:rsid w:val="00DE547C"/>
    <w:rsid w:val="00DF309F"/>
    <w:rsid w:val="00E2295A"/>
    <w:rsid w:val="00E37F59"/>
    <w:rsid w:val="00E87FCC"/>
    <w:rsid w:val="00EC0AEB"/>
    <w:rsid w:val="00EC4311"/>
    <w:rsid w:val="00F312AD"/>
    <w:rsid w:val="00F50269"/>
    <w:rsid w:val="00F81EBE"/>
    <w:rsid w:val="00FA19A0"/>
    <w:rsid w:val="00FC2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BCF5F"/>
  <w15:docId w15:val="{CF245D27-E303-46AB-8116-2427E31C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525"/>
  </w:style>
  <w:style w:type="paragraph" w:styleId="1">
    <w:name w:val="heading 1"/>
    <w:aliases w:val="новая страница,Раздел 1,Заголовок 1 Знак Знак1,Заголовок 1 Знак2 Знак Знак,Заголовок 1 Знак1 Знак Знак Знак,Заголовок 1 Знак Знак Знак Знак Знак,Заголовок 1 Знак Знак1 Знак Знак,Заголовок 1 Знак Знак Знак"/>
    <w:basedOn w:val="a"/>
    <w:next w:val="a"/>
    <w:link w:val="11"/>
    <w:qFormat/>
    <w:rsid w:val="003E64C5"/>
    <w:pPr>
      <w:keepNext/>
      <w:numPr>
        <w:numId w:val="5"/>
      </w:numPr>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Заголовок 2 Знак1,Заголовок 2 Знак Знак1,заголовок2,.1,- 1.1,- 1,H2,111,Заголовок 2 Знак Знак,Заголовок 2 Знак Знак Знак,Заголовок 24,Title3,Заголовок 2 Знак Знак Знак Знак Знак Знак,Заголовок 2 Знак Знак Знак Знак Знак Знак Знак Знак Знак"/>
    <w:basedOn w:val="a"/>
    <w:next w:val="a"/>
    <w:link w:val="20"/>
    <w:qFormat/>
    <w:rsid w:val="003E64C5"/>
    <w:pPr>
      <w:keepNext/>
      <w:numPr>
        <w:ilvl w:val="1"/>
        <w:numId w:val="5"/>
      </w:numPr>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aliases w:val="EIA H3,- 1.1.1,Topic,- 2.1.1,X.X.X,- 1.1.11,- 1.1.12,- 1.1.13,- 1.1.14,.1.1,RSKH3 Знак,RSKH3,Заголовок 3 Знак Знак,Caaieiaie 3 Ciae,Заголовок 3 Знак1,Знак1 Знак,Çàãîëîâîê 3 Çíàê Знак,Знак1 Знак Знак,B Head,Subparagraaf,ALK_K3,Heading 3_ARGOS"/>
    <w:basedOn w:val="a"/>
    <w:next w:val="a"/>
    <w:link w:val="30"/>
    <w:uiPriority w:val="9"/>
    <w:qFormat/>
    <w:rsid w:val="003E64C5"/>
    <w:pPr>
      <w:keepNext/>
      <w:numPr>
        <w:ilvl w:val="2"/>
        <w:numId w:val="5"/>
      </w:numPr>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D6D0F"/>
    <w:pPr>
      <w:ind w:left="720"/>
      <w:contextualSpacing/>
    </w:pPr>
  </w:style>
  <w:style w:type="paragraph" w:styleId="a5">
    <w:name w:val="Balloon Text"/>
    <w:basedOn w:val="a"/>
    <w:link w:val="a6"/>
    <w:uiPriority w:val="99"/>
    <w:semiHidden/>
    <w:unhideWhenUsed/>
    <w:rsid w:val="008262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62FF"/>
    <w:rPr>
      <w:rFonts w:ascii="Tahoma" w:hAnsi="Tahoma" w:cs="Tahoma"/>
      <w:sz w:val="16"/>
      <w:szCs w:val="16"/>
    </w:rPr>
  </w:style>
  <w:style w:type="paragraph" w:styleId="a7">
    <w:name w:val="header"/>
    <w:aliases w:val="??????? ??????????,Верхний колонтитул Знак1 Знак,Верхний колонтитул Знак Знак Знак"/>
    <w:basedOn w:val="a"/>
    <w:link w:val="a8"/>
    <w:uiPriority w:val="99"/>
    <w:unhideWhenUsed/>
    <w:rsid w:val="008262FF"/>
    <w:pPr>
      <w:tabs>
        <w:tab w:val="center" w:pos="4677"/>
        <w:tab w:val="right" w:pos="9355"/>
      </w:tabs>
      <w:spacing w:after="0" w:line="240" w:lineRule="auto"/>
    </w:pPr>
  </w:style>
  <w:style w:type="character" w:customStyle="1" w:styleId="a8">
    <w:name w:val="Верхний колонтитул Знак"/>
    <w:aliases w:val="??????? ?????????? Знак,Верхний колонтитул Знак1 Знак Знак,Верхний колонтитул Знак Знак Знак Знак"/>
    <w:basedOn w:val="a0"/>
    <w:link w:val="a7"/>
    <w:uiPriority w:val="99"/>
    <w:rsid w:val="008262FF"/>
  </w:style>
  <w:style w:type="paragraph" w:styleId="a9">
    <w:name w:val="footer"/>
    <w:basedOn w:val="a"/>
    <w:link w:val="aa"/>
    <w:uiPriority w:val="99"/>
    <w:semiHidden/>
    <w:unhideWhenUsed/>
    <w:rsid w:val="008262F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262FF"/>
  </w:style>
  <w:style w:type="paragraph" w:styleId="ab">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1 Знак,Основной текст Знак1"/>
    <w:basedOn w:val="a"/>
    <w:link w:val="21"/>
    <w:rsid w:val="004D5A6D"/>
    <w:pPr>
      <w:spacing w:after="120" w:line="240" w:lineRule="auto"/>
    </w:pPr>
    <w:rPr>
      <w:rFonts w:ascii="Times New Roman" w:eastAsia="Times New Roman" w:hAnsi="Times New Roman" w:cs="Times New Roman"/>
      <w:sz w:val="24"/>
      <w:szCs w:val="20"/>
      <w:lang w:eastAsia="ru-RU"/>
    </w:rPr>
  </w:style>
  <w:style w:type="character" w:customStyle="1" w:styleId="ac">
    <w:name w:val="Основной текст Знак"/>
    <w:basedOn w:val="a0"/>
    <w:uiPriority w:val="99"/>
    <w:semiHidden/>
    <w:rsid w:val="004D5A6D"/>
  </w:style>
  <w:style w:type="character" w:customStyle="1" w:styleId="21">
    <w:name w:val="Основной текст Знак2"/>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1 Знак Знак"/>
    <w:basedOn w:val="a0"/>
    <w:link w:val="ab"/>
    <w:rsid w:val="004D5A6D"/>
    <w:rPr>
      <w:rFonts w:ascii="Times New Roman" w:eastAsia="Times New Roman" w:hAnsi="Times New Roman" w:cs="Times New Roman"/>
      <w:sz w:val="24"/>
      <w:szCs w:val="20"/>
      <w:lang w:eastAsia="ru-RU"/>
    </w:rPr>
  </w:style>
  <w:style w:type="paragraph" w:customStyle="1" w:styleId="Default">
    <w:name w:val="Default"/>
    <w:rsid w:val="004D5A6D"/>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0">
    <w:name w:val="Заголовок 1 Знак"/>
    <w:basedOn w:val="a0"/>
    <w:uiPriority w:val="9"/>
    <w:rsid w:val="003E64C5"/>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aliases w:val="Заголовок 2 Знак1 Знак,Заголовок 2 Знак Знак1 Знак,заголовок2 Знак,.1 Знак,- 1.1 Знак,- 1 Знак,H2 Знак,111 Знак,Заголовок 2 Знак Знак Знак1,Заголовок 2 Знак Знак Знак Знак,Заголовок 24 Знак,Title3 Знак"/>
    <w:basedOn w:val="a0"/>
    <w:link w:val="2"/>
    <w:rsid w:val="003E64C5"/>
    <w:rPr>
      <w:rFonts w:ascii="Times New Roman" w:eastAsia="Times New Roman" w:hAnsi="Times New Roman" w:cs="Times New Roman"/>
      <w:b/>
      <w:sz w:val="24"/>
      <w:szCs w:val="20"/>
      <w:lang w:eastAsia="ru-RU"/>
    </w:rPr>
  </w:style>
  <w:style w:type="character" w:customStyle="1" w:styleId="30">
    <w:name w:val="Заголовок 3 Знак"/>
    <w:aliases w:val="EIA H3 Знак,- 1.1.1 Знак,Topic Знак,- 2.1.1 Знак,X.X.X Знак,- 1.1.11 Знак,- 1.1.12 Знак,- 1.1.13 Знак,- 1.1.14 Знак,.1.1 Знак,RSKH3 Знак Знак,RSKH3 Знак1,Заголовок 3 Знак Знак Знак,Caaieiaie 3 Ciae Знак,Заголовок 3 Знак1 Знак"/>
    <w:basedOn w:val="a0"/>
    <w:link w:val="3"/>
    <w:uiPriority w:val="9"/>
    <w:rsid w:val="003E64C5"/>
    <w:rPr>
      <w:rFonts w:ascii="Arial" w:eastAsia="Times New Roman" w:hAnsi="Arial" w:cs="Arial"/>
      <w:b/>
      <w:bCs/>
      <w:sz w:val="26"/>
      <w:szCs w:val="26"/>
      <w:lang w:eastAsia="ru-RU"/>
    </w:rPr>
  </w:style>
  <w:style w:type="character" w:customStyle="1" w:styleId="11">
    <w:name w:val="Заголовок 1 Знак1"/>
    <w:aliases w:val="новая страница Знак,Раздел 1 Знак,Заголовок 1 Знак Знак1 Знак,Заголовок 1 Знак2 Знак Знак Знак,Заголовок 1 Знак1 Знак Знак Знак Знак,Заголовок 1 Знак Знак Знак Знак Знак Знак,Заголовок 1 Знак Знак1 Знак Знак Знак"/>
    <w:basedOn w:val="a0"/>
    <w:link w:val="1"/>
    <w:rsid w:val="003E64C5"/>
    <w:rPr>
      <w:rFonts w:ascii="Arial" w:eastAsia="Times New Roman" w:hAnsi="Arial" w:cs="Arial"/>
      <w:b/>
      <w:bCs/>
      <w:kern w:val="32"/>
      <w:sz w:val="32"/>
      <w:szCs w:val="32"/>
      <w:lang w:eastAsia="ru-RU"/>
    </w:rPr>
  </w:style>
  <w:style w:type="paragraph" w:customStyle="1" w:styleId="ad">
    <w:name w:val="Стиль Основной текст"/>
    <w:basedOn w:val="a"/>
    <w:link w:val="ae"/>
    <w:rsid w:val="003E64C5"/>
    <w:pPr>
      <w:spacing w:after="0" w:line="240" w:lineRule="auto"/>
      <w:ind w:left="284" w:right="284" w:firstLine="709"/>
      <w:jc w:val="both"/>
    </w:pPr>
    <w:rPr>
      <w:rFonts w:ascii="Times New Roman" w:eastAsia="Times New Roman" w:hAnsi="Times New Roman" w:cs="Times New Roman"/>
      <w:sz w:val="24"/>
      <w:szCs w:val="20"/>
      <w:lang w:eastAsia="ru-RU"/>
    </w:rPr>
  </w:style>
  <w:style w:type="character" w:customStyle="1" w:styleId="ae">
    <w:name w:val="Стиль Основной текст Знак"/>
    <w:link w:val="ad"/>
    <w:rsid w:val="003E64C5"/>
    <w:rPr>
      <w:rFonts w:ascii="Times New Roman" w:eastAsia="Times New Roman" w:hAnsi="Times New Roman" w:cs="Times New Roman"/>
      <w:sz w:val="24"/>
      <w:szCs w:val="20"/>
      <w:lang w:eastAsia="ru-RU"/>
    </w:rPr>
  </w:style>
  <w:style w:type="character" w:customStyle="1" w:styleId="a4">
    <w:name w:val="Абзац списка Знак"/>
    <w:link w:val="a3"/>
    <w:uiPriority w:val="34"/>
    <w:rsid w:val="001A58E8"/>
  </w:style>
  <w:style w:type="paragraph" w:customStyle="1" w:styleId="12">
    <w:name w:val="Обычный1"/>
    <w:rsid w:val="00FA19A0"/>
    <w:pPr>
      <w:spacing w:after="0" w:line="360" w:lineRule="auto"/>
      <w:ind w:firstLine="709"/>
    </w:pPr>
    <w:rPr>
      <w:rFonts w:ascii="Arial" w:eastAsia="Times New Roman" w:hAnsi="Arial" w:cs="Times New Roman"/>
      <w:snapToGrid w:val="0"/>
      <w:sz w:val="24"/>
      <w:szCs w:val="20"/>
      <w:lang w:eastAsia="ru-RU"/>
    </w:rPr>
  </w:style>
  <w:style w:type="character" w:styleId="af">
    <w:name w:val="Strong"/>
    <w:basedOn w:val="a0"/>
    <w:uiPriority w:val="22"/>
    <w:qFormat/>
    <w:rsid w:val="00055A2B"/>
    <w:rPr>
      <w:b/>
      <w:bCs/>
    </w:rPr>
  </w:style>
  <w:style w:type="paragraph" w:styleId="af0">
    <w:name w:val="No Spacing"/>
    <w:link w:val="af1"/>
    <w:qFormat/>
    <w:rsid w:val="005764FE"/>
    <w:pPr>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basedOn w:val="a0"/>
    <w:link w:val="af0"/>
    <w:rsid w:val="005764FE"/>
    <w:rPr>
      <w:rFonts w:ascii="Times New Roman" w:eastAsia="Times New Roman" w:hAnsi="Times New Roman" w:cs="Times New Roman"/>
      <w:sz w:val="24"/>
      <w:szCs w:val="24"/>
      <w:lang w:eastAsia="ru-RU"/>
    </w:rPr>
  </w:style>
  <w:style w:type="table" w:styleId="af2">
    <w:name w:val="Table Grid"/>
    <w:basedOn w:val="a1"/>
    <w:uiPriority w:val="59"/>
    <w:rsid w:val="00127A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82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061A0-4867-48D5-8A68-67DD610C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22</Pages>
  <Words>6050</Words>
  <Characters>34488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Елена</dc:creator>
  <cp:lastModifiedBy>Светлана Неустроева</cp:lastModifiedBy>
  <cp:revision>21</cp:revision>
  <dcterms:created xsi:type="dcterms:W3CDTF">2019-02-11T10:28:00Z</dcterms:created>
  <dcterms:modified xsi:type="dcterms:W3CDTF">2021-06-15T06:55:00Z</dcterms:modified>
</cp:coreProperties>
</file>